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5F78A">
      <w:pPr>
        <w:rPr>
          <w:rFonts w:ascii="Arial" w:hAnsi="Arial" w:cs="Arial"/>
          <w:color w:val="000000"/>
        </w:rPr>
      </w:pPr>
      <w:bookmarkStart w:id="0" w:name="_Hlk196229549"/>
      <w:bookmarkEnd w:id="0"/>
      <w:r>
        <w:rPr>
          <w:rFonts w:ascii="Arial" w:hAnsi="Arial" w:cs="Arial"/>
          <w:color w:val="000000"/>
        </w:rPr>
        <mc:AlternateContent>
          <mc:Choice Requires="wps">
            <w:drawing>
              <wp:anchor distT="0" distB="0" distL="114300" distR="114300" simplePos="0" relativeHeight="251664384" behindDoc="0" locked="0" layoutInCell="1" allowOverlap="1">
                <wp:simplePos x="0" y="0"/>
                <wp:positionH relativeFrom="margin">
                  <wp:posOffset>3961765</wp:posOffset>
                </wp:positionH>
                <wp:positionV relativeFrom="margin">
                  <wp:posOffset>7917180</wp:posOffset>
                </wp:positionV>
                <wp:extent cx="1952625" cy="312420"/>
                <wp:effectExtent l="0" t="0" r="0" b="0"/>
                <wp:wrapNone/>
                <wp:docPr id="12" name="fmFrame6"/>
                <wp:cNvGraphicFramePr/>
                <a:graphic xmlns:a="http://schemas.openxmlformats.org/drawingml/2006/main">
                  <a:graphicData uri="http://schemas.microsoft.com/office/word/2010/wordprocessingShape">
                    <wps:wsp>
                      <wps:cNvSpPr txBox="1">
                        <a:spLocks noChangeArrowheads="1"/>
                      </wps:cNvSpPr>
                      <wps:spPr bwMode="auto">
                        <a:xfrm>
                          <a:off x="0" y="0"/>
                          <a:ext cx="1952625" cy="312420"/>
                        </a:xfrm>
                        <a:prstGeom prst="rect">
                          <a:avLst/>
                        </a:prstGeom>
                        <a:solidFill>
                          <a:srgbClr val="FFFFFF"/>
                        </a:solidFill>
                        <a:ln>
                          <a:noFill/>
                        </a:ln>
                      </wps:spPr>
                      <wps:txbx>
                        <w:txbxContent>
                          <w:p w14:paraId="5A8DDB50">
                            <w:pPr>
                              <w:pStyle w:val="48"/>
                            </w:pPr>
                            <w:r>
                              <w:rPr>
                                <w:rFonts w:hint="eastAsia" w:ascii="黑体"/>
                              </w:rPr>
                              <w:t>202X-XX-XX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11.95pt;margin-top:623.4pt;height:24.6pt;width:153.75pt;mso-position-horizontal-relative:margin;mso-position-vertical-relative:margin;z-index:251664384;mso-width-relative:page;mso-height-relative:page;" fillcolor="#FFFFFF" filled="t" stroked="f" coordsize="21600,21600" o:gfxdata="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LNsr/aAAAADQEAAA8AAAAAAAAA&#10;AQAgAAAAIgAAAGRycy9kb3ducmV2LnhtbFBLAQIUABQAAAAIAIdO4kBksbg/DwIAACwEAAAOAAAA&#10;AAAAAAEAIAAAACkBAABkcnMvZTJvRG9jLnhtbFBLBQYAAAAABgAGAFkBAACqBQAAAAA=&#10;">
                <v:fill on="t" focussize="0,0"/>
                <v:stroke on="f"/>
                <v:imagedata o:title=""/>
                <o:lock v:ext="edit" aspectratio="f"/>
                <v:textbox inset="0mm,0mm,0mm,0mm">
                  <w:txbxContent>
                    <w:p w14:paraId="5A8DDB50">
                      <w:pPr>
                        <w:pStyle w:val="48"/>
                      </w:pPr>
                      <w:r>
                        <w:rPr>
                          <w:rFonts w:hint="eastAsia" w:ascii="黑体"/>
                        </w:rPr>
                        <w:t>202X-XX-XX</w:t>
                      </w:r>
                      <w:r>
                        <w:rPr>
                          <w:rFonts w:hint="eastAsia"/>
                        </w:rPr>
                        <w:t>实施</w:t>
                      </w:r>
                    </w:p>
                  </w:txbxContent>
                </v:textbox>
              </v:shape>
            </w:pict>
          </mc:Fallback>
        </mc:AlternateContent>
      </w:r>
      <w:r>
        <w:rPr>
          <w:rFonts w:ascii="Arial" w:hAnsi="Arial" w:cs="Arial"/>
          <w:color w:val="000000"/>
        </w:rPr>
        <mc:AlternateContent>
          <mc:Choice Requires="wps">
            <w:drawing>
              <wp:anchor distT="0" distB="0" distL="114300" distR="114300" simplePos="0" relativeHeight="251665408" behindDoc="0" locked="0" layoutInCell="1" allowOverlap="1">
                <wp:simplePos x="0" y="0"/>
                <wp:positionH relativeFrom="column">
                  <wp:posOffset>-140335</wp:posOffset>
                </wp:positionH>
                <wp:positionV relativeFrom="paragraph">
                  <wp:posOffset>8123555</wp:posOffset>
                </wp:positionV>
                <wp:extent cx="6121400" cy="0"/>
                <wp:effectExtent l="0" t="0" r="0" b="0"/>
                <wp:wrapNone/>
                <wp:docPr id="11" name="Line 3675"/>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3675" o:spid="_x0000_s1026" o:spt="20" style="position:absolute;left:0pt;margin-left:-11.05pt;margin-top:639.65pt;height:0pt;width:482pt;z-index:251665408;mso-width-relative:page;mso-height-relative:page;" filled="f" stroked="t" coordsize="21600,21600" o:gfxdata="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39J+tgAAAANAQAADwAAAAAAAAABACAAAAAiAAAAZHJz&#10;L2Rvd25yZXYueG1sUEsBAhQAFAAAAAgAh07iQHZP4ofLAQAApAMAAA4AAAAAAAAAAQAgAAAAJwEA&#10;AGRycy9lMm9Eb2MueG1sUEsFBgAAAAAGAAYAWQEAAGQFAAAAAA==&#10;">
                <v:fill on="f" focussize="0,0"/>
                <v:stroke weight="1pt" color="#FFFFFF" joinstyle="round"/>
                <v:imagedata o:title=""/>
                <o:lock v:ext="edit" aspectratio="f"/>
              </v:line>
            </w:pict>
          </mc:Fallback>
        </mc:AlternateContent>
      </w:r>
      <w:r>
        <w:rPr>
          <w:rFonts w:ascii="Arial" w:hAnsi="Arial" w:cs="Arial"/>
          <w:color w:val="000000"/>
        </w:rPr>
        <mc:AlternateContent>
          <mc:Choice Requires="wps">
            <w:drawing>
              <wp:anchor distT="0" distB="0" distL="114300" distR="114300" simplePos="0" relativeHeight="251663360" behindDoc="0" locked="0" layoutInCell="1" allowOverlap="1">
                <wp:simplePos x="0" y="0"/>
                <wp:positionH relativeFrom="margin">
                  <wp:posOffset>-111760</wp:posOffset>
                </wp:positionH>
                <wp:positionV relativeFrom="margin">
                  <wp:posOffset>7917180</wp:posOffset>
                </wp:positionV>
                <wp:extent cx="2019300" cy="312420"/>
                <wp:effectExtent l="0" t="0" r="0" b="0"/>
                <wp:wrapNone/>
                <wp:docPr id="10"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FDA749E">
                            <w:pPr>
                              <w:pStyle w:val="47"/>
                              <w:rPr>
                                <w:rFonts w:ascii="黑体"/>
                              </w:rPr>
                            </w:pPr>
                            <w:r>
                              <w:rPr>
                                <w:rFonts w:hint="eastAsia" w:ascii="黑体"/>
                              </w:rPr>
                              <w:t>202X-XX-XX发布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8.8pt;margin-top:623.4pt;height:24.6pt;width:159pt;mso-position-horizontal-relative:margin;mso-position-vertical-relative:margin;z-index:251663360;mso-width-relative:page;mso-height-relative:page;" fillcolor="#FFFFFF" filled="t" stroked="f" coordsize="21600,21600" o:gfxdata="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sKVvdoAAAANAQAADwAAAAAAAAAB&#10;ACAAAAAiAAAAZHJzL2Rvd25yZXYueG1sUEsBAhQAFAAAAAgAh07iQMoyqd8OAgAALAQAAA4AAAAA&#10;AAAAAQAgAAAAKQEAAGRycy9lMm9Eb2MueG1sUEsFBgAAAAAGAAYAWQEAAKkFAAAAAA==&#10;">
                <v:fill on="t" focussize="0,0"/>
                <v:stroke on="f"/>
                <v:imagedata o:title=""/>
                <o:lock v:ext="edit" aspectratio="f"/>
                <v:textbox inset="0mm,0mm,0mm,0mm">
                  <w:txbxContent>
                    <w:p w14:paraId="5FDA749E">
                      <w:pPr>
                        <w:pStyle w:val="47"/>
                        <w:rPr>
                          <w:rFonts w:ascii="黑体"/>
                        </w:rPr>
                      </w:pPr>
                      <w:r>
                        <w:rPr>
                          <w:rFonts w:hint="eastAsia" w:ascii="黑体"/>
                        </w:rPr>
                        <w:t>202X-XX-XX发布</w:t>
                      </w:r>
                    </w:p>
                  </w:txbxContent>
                </v:textbox>
              </v:shape>
            </w:pict>
          </mc:Fallback>
        </mc:AlternateContent>
      </w:r>
      <w:r>
        <w:rPr>
          <w:rFonts w:ascii="Arial" w:hAnsi="Arial" w:cs="Arial"/>
          <w:color w:val="000000"/>
        </w:rPr>
        <mc:AlternateContent>
          <mc:Choice Requires="wps">
            <w:drawing>
              <wp:anchor distT="0" distB="0" distL="114300" distR="114300" simplePos="0" relativeHeight="251661312" behindDoc="0" locked="0" layoutInCell="1" allowOverlap="1">
                <wp:simplePos x="0" y="0"/>
                <wp:positionH relativeFrom="margin">
                  <wp:posOffset>364490</wp:posOffset>
                </wp:positionH>
                <wp:positionV relativeFrom="margin">
                  <wp:posOffset>1005205</wp:posOffset>
                </wp:positionV>
                <wp:extent cx="5802630" cy="641350"/>
                <wp:effectExtent l="0" t="0" r="0" b="0"/>
                <wp:wrapNone/>
                <wp:docPr id="7"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641350"/>
                        </a:xfrm>
                        <a:prstGeom prst="rect">
                          <a:avLst/>
                        </a:prstGeom>
                        <a:solidFill>
                          <a:srgbClr val="FFFFFF"/>
                        </a:solidFill>
                        <a:ln>
                          <a:noFill/>
                        </a:ln>
                      </wps:spPr>
                      <wps:txbx>
                        <w:txbxContent>
                          <w:p w14:paraId="7C3A360D">
                            <w:pPr>
                              <w:pStyle w:val="43"/>
                              <w:wordWrap w:val="0"/>
                              <w:ind w:right="280"/>
                              <w:rPr>
                                <w:rFonts w:hint="eastAsia" w:ascii="黑体" w:hAnsi="宋体" w:eastAsia="黑体"/>
                                <w:color w:val="000000"/>
                                <w:lang w:eastAsia="zh-CN"/>
                              </w:rPr>
                            </w:pPr>
                            <w:r>
                              <w:rPr>
                                <w:rFonts w:ascii="黑体" w:eastAsia="黑体"/>
                                <w:color w:val="000000"/>
                              </w:rPr>
                              <w:t xml:space="preserve">T/BIAIM  </w:t>
                            </w:r>
                            <w:r>
                              <w:rPr>
                                <w:rFonts w:hint="eastAsia" w:ascii="黑体" w:eastAsia="黑体"/>
                                <w:color w:val="000000"/>
                              </w:rPr>
                              <w:t>00</w:t>
                            </w:r>
                            <w:r>
                              <w:rPr>
                                <w:rFonts w:hint="eastAsia" w:ascii="黑体" w:eastAsia="黑体"/>
                                <w:color w:val="000000"/>
                                <w:lang w:val="en-US" w:eastAsia="zh-CN"/>
                              </w:rPr>
                              <w:t>05</w:t>
                            </w:r>
                            <w:r>
                              <w:rPr>
                                <w:rFonts w:ascii="黑体" w:eastAsia="黑体"/>
                                <w:color w:val="000000"/>
                              </w:rPr>
                              <w:t>-20</w:t>
                            </w:r>
                            <w:r>
                              <w:rPr>
                                <w:rFonts w:hint="eastAsia" w:ascii="黑体" w:eastAsia="黑体"/>
                                <w:color w:val="000000"/>
                              </w:rPr>
                              <w:t>2</w:t>
                            </w:r>
                            <w:r>
                              <w:rPr>
                                <w:rFonts w:hint="eastAsia" w:ascii="黑体" w:eastAsia="黑体"/>
                                <w:color w:val="000000"/>
                                <w:lang w:val="en-US" w:eastAsia="zh-CN"/>
                              </w:rPr>
                              <w:t>6</w:t>
                            </w:r>
                          </w:p>
                          <w:p w14:paraId="60387ABF">
                            <w:pPr>
                              <w:pStyle w:val="43"/>
                              <w:ind w:right="280"/>
                              <w:rPr>
                                <w:rFonts w:hint="eastAsia" w:ascii="黑体" w:hAnsi="宋体" w:eastAsia="黑体"/>
                                <w:color w:val="000000"/>
                              </w:rPr>
                            </w:pPr>
                          </w:p>
                          <w:p w14:paraId="71C9CC1F">
                            <w:pPr>
                              <w:pStyle w:val="43"/>
                              <w:wordWrap w:val="0"/>
                              <w:ind w:right="280"/>
                              <w:rPr>
                                <w:rFonts w:hint="eastAsia" w:ascii="黑体" w:hAnsi="宋体" w:eastAsia="黑体"/>
                                <w:color w:val="000000"/>
                              </w:rPr>
                            </w:pPr>
                          </w:p>
                          <w:p w14:paraId="65A8C030">
                            <w:pPr>
                              <w:pStyle w:val="43"/>
                              <w:ind w:right="280"/>
                              <w:rPr>
                                <w:rFonts w:ascii="黑体" w:eastAsia="黑体"/>
                                <w:color w:val="000000"/>
                              </w:rPr>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28.7pt;margin-top:79.15pt;height:50.5pt;width:456.9pt;mso-position-horizontal-relative:margin;mso-position-vertical-relative:margin;z-index:251661312;mso-width-relative:page;mso-height-relative:page;" fillcolor="#FFFFFF" filled="t" stroked="f" coordsize="21600,21600" o:gfxdata="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fgBpz2gAAAAoBAAAPAAAAAAAA&#10;AAEAIAAAACIAAABkcnMvZG93bnJldi54bWxQSwECFAAUAAAACACHTuJAM2iJNxACAAArBAAADgAA&#10;AAAAAAABACAAAAApAQAAZHJzL2Uyb0RvYy54bWxQSwUGAAAAAAYABgBZAQAAqwUAAAAA&#10;">
                <v:fill on="t" focussize="0,0"/>
                <v:stroke on="f"/>
                <v:imagedata o:title=""/>
                <o:lock v:ext="edit" aspectratio="f"/>
                <v:textbox inset="0mm,0mm,0mm,0mm">
                  <w:txbxContent>
                    <w:p w14:paraId="7C3A360D">
                      <w:pPr>
                        <w:pStyle w:val="43"/>
                        <w:wordWrap w:val="0"/>
                        <w:ind w:right="280"/>
                        <w:rPr>
                          <w:rFonts w:hint="eastAsia" w:ascii="黑体" w:hAnsi="宋体" w:eastAsia="黑体"/>
                          <w:color w:val="000000"/>
                          <w:lang w:eastAsia="zh-CN"/>
                        </w:rPr>
                      </w:pPr>
                      <w:r>
                        <w:rPr>
                          <w:rFonts w:ascii="黑体" w:eastAsia="黑体"/>
                          <w:color w:val="000000"/>
                        </w:rPr>
                        <w:t xml:space="preserve">T/BIAIM  </w:t>
                      </w:r>
                      <w:r>
                        <w:rPr>
                          <w:rFonts w:hint="eastAsia" w:ascii="黑体" w:eastAsia="黑体"/>
                          <w:color w:val="000000"/>
                        </w:rPr>
                        <w:t>00</w:t>
                      </w:r>
                      <w:r>
                        <w:rPr>
                          <w:rFonts w:hint="eastAsia" w:ascii="黑体" w:eastAsia="黑体"/>
                          <w:color w:val="000000"/>
                          <w:lang w:val="en-US" w:eastAsia="zh-CN"/>
                        </w:rPr>
                        <w:t>05</w:t>
                      </w:r>
                      <w:r>
                        <w:rPr>
                          <w:rFonts w:ascii="黑体" w:eastAsia="黑体"/>
                          <w:color w:val="000000"/>
                        </w:rPr>
                        <w:t>-20</w:t>
                      </w:r>
                      <w:r>
                        <w:rPr>
                          <w:rFonts w:hint="eastAsia" w:ascii="黑体" w:eastAsia="黑体"/>
                          <w:color w:val="000000"/>
                        </w:rPr>
                        <w:t>2</w:t>
                      </w:r>
                      <w:r>
                        <w:rPr>
                          <w:rFonts w:hint="eastAsia" w:ascii="黑体" w:eastAsia="黑体"/>
                          <w:color w:val="000000"/>
                          <w:lang w:val="en-US" w:eastAsia="zh-CN"/>
                        </w:rPr>
                        <w:t>6</w:t>
                      </w:r>
                    </w:p>
                    <w:p w14:paraId="60387ABF">
                      <w:pPr>
                        <w:pStyle w:val="43"/>
                        <w:ind w:right="280"/>
                        <w:rPr>
                          <w:rFonts w:hint="eastAsia" w:ascii="黑体" w:hAnsi="宋体" w:eastAsia="黑体"/>
                          <w:color w:val="000000"/>
                        </w:rPr>
                      </w:pPr>
                    </w:p>
                    <w:p w14:paraId="71C9CC1F">
                      <w:pPr>
                        <w:pStyle w:val="43"/>
                        <w:wordWrap w:val="0"/>
                        <w:ind w:right="280"/>
                        <w:rPr>
                          <w:rFonts w:hint="eastAsia" w:ascii="黑体" w:hAnsi="宋体" w:eastAsia="黑体"/>
                          <w:color w:val="000000"/>
                        </w:rPr>
                      </w:pPr>
                    </w:p>
                    <w:p w14:paraId="65A8C030">
                      <w:pPr>
                        <w:pStyle w:val="43"/>
                        <w:ind w:right="280"/>
                        <w:rPr>
                          <w:rFonts w:ascii="黑体" w:eastAsia="黑体"/>
                          <w:color w:val="000000"/>
                        </w:rPr>
                      </w:pPr>
                    </w:p>
                  </w:txbxContent>
                </v:textbox>
              </v:shape>
            </w:pict>
          </mc:Fallback>
        </mc:AlternateContent>
      </w:r>
      <w:r>
        <w:rPr>
          <w:rFonts w:ascii="Arial" w:hAnsi="Arial" w:cs="Arial"/>
          <w:color w:val="000000"/>
        </w:rPr>
        <mc:AlternateContent>
          <mc:Choice Requires="wps">
            <w:drawing>
              <wp:anchor distT="0" distB="0" distL="114300" distR="114300" simplePos="0" relativeHeight="251660288" behindDoc="0" locked="0" layoutInCell="1" allowOverlap="1">
                <wp:simplePos x="0" y="0"/>
                <wp:positionH relativeFrom="margin">
                  <wp:posOffset>-102235</wp:posOffset>
                </wp:positionH>
                <wp:positionV relativeFrom="margin">
                  <wp:posOffset>595630</wp:posOffset>
                </wp:positionV>
                <wp:extent cx="6120130" cy="391160"/>
                <wp:effectExtent l="0" t="0" r="0" b="0"/>
                <wp:wrapNone/>
                <wp:docPr id="6"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164B05E9">
                            <w:pPr>
                              <w:pStyle w:val="44"/>
                            </w:pPr>
                            <w:r>
                              <w:rPr>
                                <w:rFonts w:hint="eastAsia"/>
                              </w:rPr>
                              <w:t>团体标准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8.05pt;margin-top:46.9pt;height:30.8pt;width:481.9pt;mso-position-horizontal-relative:margin;mso-position-vertical-relative:margin;z-index:251660288;mso-width-relative:page;mso-height-relative:page;" fillcolor="#FFFFFF" filled="t" stroked="f" coordsize="21600,21600" o:gfxdata="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0yCTP2QAAAAoBAAAPAAAAAAAAAAEA&#10;IAAAACIAAABkcnMvZG93bnJldi54bWxQSwECFAAUAAAACACHTuJAB5em5g4CAAArBAAADgAAAAAA&#10;AAABACAAAAAoAQAAZHJzL2Uyb0RvYy54bWxQSwUGAAAAAAYABgBZAQAAqAUAAAAA&#10;">
                <v:fill on="t" focussize="0,0"/>
                <v:stroke on="f"/>
                <v:imagedata o:title=""/>
                <o:lock v:ext="edit" aspectratio="f"/>
                <v:textbox inset="0mm,0mm,0mm,0mm">
                  <w:txbxContent>
                    <w:p w14:paraId="164B05E9">
                      <w:pPr>
                        <w:pStyle w:val="44"/>
                      </w:pPr>
                      <w:r>
                        <w:rPr>
                          <w:rFonts w:hint="eastAsia"/>
                        </w:rPr>
                        <w:t>团体标准</w:t>
                      </w:r>
                    </w:p>
                  </w:txbxContent>
                </v:textbox>
              </v:shape>
            </w:pict>
          </mc:Fallback>
        </mc:AlternateContent>
      </w:r>
      <w:r>
        <w:rPr>
          <w:rFonts w:ascii="Arial" w:hAnsi="Arial" w:cs="Arial"/>
          <w:color w:val="000000"/>
        </w:rPr>
        <mc:AlternateContent>
          <mc:Choice Requires="wps">
            <w:drawing>
              <wp:anchor distT="0" distB="0" distL="114300" distR="114300" simplePos="0" relativeHeight="251659264" behindDoc="0" locked="0" layoutInCell="1" allowOverlap="1">
                <wp:simplePos x="0" y="0"/>
                <wp:positionH relativeFrom="margin">
                  <wp:posOffset>31115</wp:posOffset>
                </wp:positionH>
                <wp:positionV relativeFrom="margin">
                  <wp:posOffset>-405765</wp:posOffset>
                </wp:positionV>
                <wp:extent cx="2540000" cy="657860"/>
                <wp:effectExtent l="0" t="0" r="0" b="0"/>
                <wp:wrapNone/>
                <wp:docPr id="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2D3B74FC">
                            <w:pPr>
                              <w:pStyle w:val="51"/>
                              <w:rPr>
                                <w:rFonts w:hint="eastAsia" w:ascii="黑体" w:hAnsi="宋体"/>
                              </w:rPr>
                            </w:pPr>
                            <w:r>
                              <w:rPr>
                                <w:rFonts w:hint="eastAsia" w:ascii="黑体" w:hAnsi="宋体"/>
                              </w:rPr>
                              <w:t xml:space="preserve">ICS </w:t>
                            </w:r>
                            <w:r>
                              <w:rPr>
                                <w:rFonts w:ascii="黑体" w:hAnsi="宋体"/>
                              </w:rPr>
                              <w:t>35.240.50</w:t>
                            </w:r>
                          </w:p>
                          <w:p w14:paraId="5D03B180">
                            <w:pPr>
                              <w:pStyle w:val="51"/>
                              <w:rPr>
                                <w:rFonts w:hint="eastAsia" w:ascii="黑体" w:hAnsi="宋体"/>
                              </w:rPr>
                            </w:pPr>
                            <w:r>
                              <w:rPr>
                                <w:rFonts w:hint="eastAsia" w:ascii="黑体" w:hAnsi="宋体"/>
                              </w:rPr>
                              <w:t xml:space="preserve">J </w:t>
                            </w:r>
                            <w:r>
                              <w:rPr>
                                <w:rFonts w:ascii="黑体" w:hAnsi="宋体"/>
                              </w:rPr>
                              <w:t>07</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2.45pt;margin-top:-31.95pt;height:51.8pt;width:200pt;mso-position-horizontal-relative:margin;mso-position-vertical-relative:margin;z-index:251659264;mso-width-relative:page;mso-height-relative:page;" fillcolor="#FFFFFF" filled="t" stroked="f" coordsize="21600,21600" o:gfxdata="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sLeVJ2AAAAAgBAAAPAAAAAAAAAAEA&#10;IAAAACIAAABkcnMvZG93bnJldi54bWxQSwECFAAUAAAACACHTuJAV2TyFQ8CAAArBAAADgAAAAAA&#10;AAABACAAAAAnAQAAZHJzL2Uyb0RvYy54bWxQSwUGAAAAAAYABgBZAQAAqAUAAAAA&#10;">
                <v:fill on="t" focussize="0,0"/>
                <v:stroke on="f"/>
                <v:imagedata o:title=""/>
                <o:lock v:ext="edit" aspectratio="f"/>
                <v:textbox inset="0mm,0mm,0mm,0mm">
                  <w:txbxContent>
                    <w:p w14:paraId="2D3B74FC">
                      <w:pPr>
                        <w:pStyle w:val="51"/>
                        <w:rPr>
                          <w:rFonts w:hint="eastAsia" w:ascii="黑体" w:hAnsi="宋体"/>
                        </w:rPr>
                      </w:pPr>
                      <w:r>
                        <w:rPr>
                          <w:rFonts w:hint="eastAsia" w:ascii="黑体" w:hAnsi="宋体"/>
                        </w:rPr>
                        <w:t xml:space="preserve">ICS </w:t>
                      </w:r>
                      <w:r>
                        <w:rPr>
                          <w:rFonts w:ascii="黑体" w:hAnsi="宋体"/>
                        </w:rPr>
                        <w:t>35.240.50</w:t>
                      </w:r>
                    </w:p>
                    <w:p w14:paraId="5D03B180">
                      <w:pPr>
                        <w:pStyle w:val="51"/>
                        <w:rPr>
                          <w:rFonts w:hint="eastAsia" w:ascii="黑体" w:hAnsi="宋体"/>
                        </w:rPr>
                      </w:pPr>
                      <w:r>
                        <w:rPr>
                          <w:rFonts w:hint="eastAsia" w:ascii="黑体" w:hAnsi="宋体"/>
                        </w:rPr>
                        <w:t xml:space="preserve">J </w:t>
                      </w:r>
                      <w:r>
                        <w:rPr>
                          <w:rFonts w:ascii="黑体" w:hAnsi="宋体"/>
                        </w:rPr>
                        <w:t>07</w:t>
                      </w:r>
                    </w:p>
                  </w:txbxContent>
                </v:textbox>
              </v:shape>
            </w:pict>
          </mc:Fallback>
        </mc:AlternateContent>
      </w:r>
    </w:p>
    <w:p w14:paraId="6EA65A46">
      <w:pPr>
        <w:pStyle w:val="14"/>
        <w:rPr>
          <w:rFonts w:ascii="Arial" w:hAnsi="Arial" w:cs="Arial"/>
          <w:color w:val="000000"/>
          <w:kern w:val="0"/>
        </w:rPr>
        <w:sectPr>
          <w:headerReference r:id="rId5" w:type="first"/>
          <w:footerReference r:id="rId8" w:type="first"/>
          <w:headerReference r:id="rId3" w:type="default"/>
          <w:footerReference r:id="rId6" w:type="default"/>
          <w:headerReference r:id="rId4" w:type="even"/>
          <w:footerReference r:id="rId7" w:type="even"/>
          <w:pgSz w:w="11907" w:h="16840"/>
          <w:pgMar w:top="1418" w:right="1134" w:bottom="1134" w:left="1418" w:header="1418" w:footer="851" w:gutter="0"/>
          <w:pgNumType w:fmt="upperRoman" w:start="1"/>
          <w:cols w:space="720" w:num="1"/>
          <w:docGrid w:linePitch="312" w:charSpace="0"/>
        </w:sectPr>
      </w:pPr>
      <w:r>
        <w:rPr>
          <w:rFonts w:ascii="Arial" w:hAnsi="Arial" w:cs="Arial"/>
          <w:color w:val="000000"/>
        </w:rPr>
        <mc:AlternateContent>
          <mc:Choice Requires="wps">
            <w:drawing>
              <wp:anchor distT="0" distB="0" distL="114300" distR="114300" simplePos="0" relativeHeight="251670528" behindDoc="0" locked="0" layoutInCell="1" allowOverlap="1">
                <wp:simplePos x="0" y="0"/>
                <wp:positionH relativeFrom="column">
                  <wp:posOffset>-240665</wp:posOffset>
                </wp:positionH>
                <wp:positionV relativeFrom="paragraph">
                  <wp:posOffset>8075930</wp:posOffset>
                </wp:positionV>
                <wp:extent cx="6464935" cy="0"/>
                <wp:effectExtent l="12065" t="6350" r="9525" b="12700"/>
                <wp:wrapNone/>
                <wp:docPr id="876093393" name="直线 23"/>
                <wp:cNvGraphicFramePr/>
                <a:graphic xmlns:a="http://schemas.openxmlformats.org/drawingml/2006/main">
                  <a:graphicData uri="http://schemas.microsoft.com/office/word/2010/wordprocessingShape">
                    <wps:wsp>
                      <wps:cNvCnPr>
                        <a:cxnSpLocks noChangeShapeType="1"/>
                      </wps:cNvCnPr>
                      <wps:spPr bwMode="auto">
                        <a:xfrm>
                          <a:off x="0" y="0"/>
                          <a:ext cx="6464935" cy="0"/>
                        </a:xfrm>
                        <a:prstGeom prst="line">
                          <a:avLst/>
                        </a:prstGeom>
                        <a:noFill/>
                        <a:ln w="12700" cmpd="sng">
                          <a:solidFill>
                            <a:srgbClr val="000000"/>
                          </a:solidFill>
                          <a:round/>
                        </a:ln>
                      </wps:spPr>
                      <wps:bodyPr/>
                    </wps:wsp>
                  </a:graphicData>
                </a:graphic>
              </wp:anchor>
            </w:drawing>
          </mc:Choice>
          <mc:Fallback>
            <w:pict>
              <v:line id="直线 23" o:spid="_x0000_s1026" o:spt="20" style="position:absolute;left:0pt;margin-left:-18.95pt;margin-top:635.9pt;height:0pt;width:509.05pt;z-index:251670528;mso-width-relative:page;mso-height-relative:page;" filled="f" stroked="t" coordsize="21600,21600" o:gfxdata="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S6Q&#10;QNkAAAANAQAADwAAAAAAAAABACAAAAAiAAAAZHJzL2Rvd25yZXYueG1sUEsBAhQAFAAAAAgAh07i&#10;QGjDUVDoAQAAtgMAAA4AAAAAAAAAAQAgAAAAKAEAAGRycy9lMm9Eb2MueG1sUEsFBgAAAAAGAAYA&#10;WQEAAIIFAAAAAA==&#10;">
                <v:fill on="f" focussize="0,0"/>
                <v:stroke weight="1pt" color="#000000" joinstyle="round"/>
                <v:imagedata o:title=""/>
                <o:lock v:ext="edit" aspectratio="f"/>
              </v:line>
            </w:pict>
          </mc:Fallback>
        </mc:AlternateContent>
      </w:r>
      <w:r>
        <w:rPr>
          <w:rFonts w:ascii="Arial" w:hAnsi="Arial" w:cs="Arial"/>
          <w:color w:val="000000"/>
        </w:rPr>
        <mc:AlternateContent>
          <mc:Choice Requires="wps">
            <w:drawing>
              <wp:anchor distT="0" distB="0" distL="114300" distR="114300" simplePos="0" relativeHeight="251669504" behindDoc="0" locked="0" layoutInCell="1" allowOverlap="1">
                <wp:simplePos x="0" y="0"/>
                <wp:positionH relativeFrom="column">
                  <wp:posOffset>-38100</wp:posOffset>
                </wp:positionH>
                <wp:positionV relativeFrom="paragraph">
                  <wp:posOffset>1532890</wp:posOffset>
                </wp:positionV>
                <wp:extent cx="6121400" cy="0"/>
                <wp:effectExtent l="5080" t="6985" r="7620" b="12065"/>
                <wp:wrapNone/>
                <wp:docPr id="1912520576" name="直线 2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3175" cmpd="sng">
                          <a:solidFill>
                            <a:srgbClr val="000000"/>
                          </a:solidFill>
                          <a:round/>
                        </a:ln>
                        <a:effectLst/>
                      </wps:spPr>
                      <wps:bodyPr/>
                    </wps:wsp>
                  </a:graphicData>
                </a:graphic>
              </wp:anchor>
            </w:drawing>
          </mc:Choice>
          <mc:Fallback>
            <w:pict>
              <v:line id="直线 22" o:spid="_x0000_s1026" o:spt="20" style="position:absolute;left:0pt;margin-left:-3pt;margin-top:120.7pt;height:0pt;width:482pt;z-index:251669504;mso-width-relative:page;mso-height-relative:page;" filled="f" stroked="t" coordsize="21600,21600" o:gfxdata="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u&#10;XeLv2AAAAAoBAAAPAAAAAAAAAAEAIAAAACIAAABkcnMvZG93bnJldi54bWxQSwECFAAUAAAACACH&#10;TuJA7vxjn+sBAADEAwAADgAAAAAAAAABACAAAAAnAQAAZHJzL2Uyb0RvYy54bWxQSwUGAAAAAAYA&#10;BgBZAQAAhAUAAAAA&#10;">
                <v:fill on="f" focussize="0,0"/>
                <v:stroke weight="0.25pt" color="#000000" joinstyle="round"/>
                <v:imagedata o:title=""/>
                <o:lock v:ext="edit" aspectratio="f"/>
              </v:line>
            </w:pict>
          </mc:Fallback>
        </mc:AlternateContent>
      </w:r>
      <w:r>
        <w:rPr>
          <w:rFonts w:ascii="Arial" w:hAnsi="Arial" w:cs="Arial"/>
          <w:color w:val="000000"/>
        </w:rPr>
        <mc:AlternateContent>
          <mc:Choice Requires="wps">
            <w:drawing>
              <wp:anchor distT="0" distB="0" distL="114300" distR="114300" simplePos="0" relativeHeight="251668480" behindDoc="0" locked="0" layoutInCell="1" allowOverlap="1">
                <wp:simplePos x="0" y="0"/>
                <wp:positionH relativeFrom="column">
                  <wp:posOffset>-190500</wp:posOffset>
                </wp:positionH>
                <wp:positionV relativeFrom="paragraph">
                  <wp:posOffset>1380490</wp:posOffset>
                </wp:positionV>
                <wp:extent cx="6121400" cy="0"/>
                <wp:effectExtent l="14605" t="6985" r="7620" b="12065"/>
                <wp:wrapNone/>
                <wp:docPr id="1240980400" name="直线 18"/>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FFFFFF"/>
                          </a:solidFill>
                          <a:round/>
                        </a:ln>
                      </wps:spPr>
                      <wps:bodyPr/>
                    </wps:wsp>
                  </a:graphicData>
                </a:graphic>
              </wp:anchor>
            </w:drawing>
          </mc:Choice>
          <mc:Fallback>
            <w:pict>
              <v:line id="直线 18" o:spid="_x0000_s1026" o:spt="20" style="position:absolute;left:0pt;margin-left:-15pt;margin-top:108.7pt;height:0pt;width:482pt;z-index:251668480;mso-width-relative:page;mso-height-relative:page;" filled="f" stroked="t" coordsize="21600,21600" o:gfxdata="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dG4udgAAAAL&#10;AQAADwAAAAAAAAABACAAAAAiAAAAZHJzL2Rvd25yZXYueG1sUEsBAhQAFAAAAAgAh07iQLjogxXj&#10;AQAAtwMAAA4AAAAAAAAAAQAgAAAAJwEAAGRycy9lMm9Eb2MueG1sUEsFBgAAAAAGAAYAWQEAAHwF&#10;AAAAAA==&#10;">
                <v:fill on="f" focussize="0,0"/>
                <v:stroke weight="1pt" color="#FFFFFF" joinstyle="round"/>
                <v:imagedata o:title=""/>
                <o:lock v:ext="edit" aspectratio="f"/>
              </v:line>
            </w:pict>
          </mc:Fallback>
        </mc:AlternateContent>
      </w:r>
      <w:r>
        <w:rPr>
          <w:rFonts w:ascii="Arial" w:hAnsi="Arial" w:cs="Arial"/>
          <w:color w:val="000000"/>
        </w:rPr>
        <mc:AlternateContent>
          <mc:Choice Requires="wps">
            <w:drawing>
              <wp:anchor distT="0" distB="0" distL="114300" distR="114300" simplePos="0" relativeHeight="251667456" behindDoc="0" locked="0" layoutInCell="1" allowOverlap="1">
                <wp:simplePos x="0" y="0"/>
                <wp:positionH relativeFrom="column">
                  <wp:posOffset>-240665</wp:posOffset>
                </wp:positionH>
                <wp:positionV relativeFrom="paragraph">
                  <wp:posOffset>8075930</wp:posOffset>
                </wp:positionV>
                <wp:extent cx="6464935" cy="0"/>
                <wp:effectExtent l="12065" t="6350" r="9525" b="12700"/>
                <wp:wrapNone/>
                <wp:docPr id="2061780615" name="直线 17"/>
                <wp:cNvGraphicFramePr/>
                <a:graphic xmlns:a="http://schemas.openxmlformats.org/drawingml/2006/main">
                  <a:graphicData uri="http://schemas.microsoft.com/office/word/2010/wordprocessingShape">
                    <wps:wsp>
                      <wps:cNvCnPr>
                        <a:cxnSpLocks noChangeShapeType="1"/>
                      </wps:cNvCnPr>
                      <wps:spPr bwMode="auto">
                        <a:xfrm>
                          <a:off x="0" y="0"/>
                          <a:ext cx="6464935" cy="0"/>
                        </a:xfrm>
                        <a:prstGeom prst="line">
                          <a:avLst/>
                        </a:prstGeom>
                        <a:noFill/>
                        <a:ln w="12700" cmpd="sng">
                          <a:solidFill>
                            <a:srgbClr val="FFFFFF"/>
                          </a:solidFill>
                          <a:round/>
                        </a:ln>
                      </wps:spPr>
                      <wps:bodyPr/>
                    </wps:wsp>
                  </a:graphicData>
                </a:graphic>
              </wp:anchor>
            </w:drawing>
          </mc:Choice>
          <mc:Fallback>
            <w:pict>
              <v:line id="直线 17" o:spid="_x0000_s1026" o:spt="20" style="position:absolute;left:0pt;margin-left:-18.95pt;margin-top:635.9pt;height:0pt;width:509.05pt;z-index:251667456;mso-width-relative:page;mso-height-relative:page;" filled="f" stroked="t" coordsize="21600,21600" o:gfxdata="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nXRzjY&#10;AAAADQEAAA8AAAAAAAAAAQAgAAAAIgAAAGRycy9kb3ducmV2LnhtbFBLAQIUABQAAAAIAIdO4kBE&#10;TTcO5wEAALcDAAAOAAAAAAAAAAEAIAAAACcBAABkcnMvZTJvRG9jLnhtbFBLBQYAAAAABgAGAFkB&#10;AACABQAAAAA=&#10;">
                <v:fill on="f" focussize="0,0"/>
                <v:stroke weight="1pt" color="#FFFFFF" joinstyle="round"/>
                <v:imagedata o:title=""/>
                <o:lock v:ext="edit" aspectratio="f"/>
              </v:line>
            </w:pict>
          </mc:Fallback>
        </mc:AlternateContent>
      </w:r>
      <w:r>
        <w:rPr>
          <w:rFonts w:ascii="Arial" w:hAnsi="Arial" w:cs="Arial"/>
          <w:color w:val="000000"/>
          <w:kern w:val="0"/>
        </w:rPr>
        <mc:AlternateContent>
          <mc:Choice Requires="wps">
            <w:drawing>
              <wp:anchor distT="0" distB="0" distL="114300" distR="114300" simplePos="0" relativeHeight="251666432" behindDoc="0" locked="0" layoutInCell="1" allowOverlap="1">
                <wp:simplePos x="0" y="0"/>
                <wp:positionH relativeFrom="margin">
                  <wp:posOffset>-140335</wp:posOffset>
                </wp:positionH>
                <wp:positionV relativeFrom="margin">
                  <wp:posOffset>8331200</wp:posOffset>
                </wp:positionV>
                <wp:extent cx="6364605" cy="485140"/>
                <wp:effectExtent l="0" t="0" r="0" b="0"/>
                <wp:wrapNone/>
                <wp:docPr id="3" name="fmFrame7"/>
                <wp:cNvGraphicFramePr/>
                <a:graphic xmlns:a="http://schemas.openxmlformats.org/drawingml/2006/main">
                  <a:graphicData uri="http://schemas.microsoft.com/office/word/2010/wordprocessingShape">
                    <wps:wsp>
                      <wps:cNvSpPr txBox="1">
                        <a:spLocks noChangeArrowheads="1"/>
                      </wps:cNvSpPr>
                      <wps:spPr bwMode="auto">
                        <a:xfrm>
                          <a:off x="0" y="0"/>
                          <a:ext cx="6364605" cy="485140"/>
                        </a:xfrm>
                        <a:prstGeom prst="rect">
                          <a:avLst/>
                        </a:prstGeom>
                        <a:solidFill>
                          <a:srgbClr val="FFFFFF"/>
                        </a:solidFill>
                        <a:ln>
                          <a:noFill/>
                        </a:ln>
                      </wps:spPr>
                      <wps:txbx>
                        <w:txbxContent>
                          <w:tbl>
                            <w:tblPr>
                              <w:tblStyle w:val="18"/>
                              <w:tblW w:w="0" w:type="auto"/>
                              <w:tblInd w:w="0" w:type="dxa"/>
                              <w:tblLayout w:type="fixed"/>
                              <w:tblCellMar>
                                <w:top w:w="0" w:type="dxa"/>
                                <w:left w:w="108" w:type="dxa"/>
                                <w:bottom w:w="0" w:type="dxa"/>
                                <w:right w:w="108" w:type="dxa"/>
                              </w:tblCellMar>
                            </w:tblPr>
                            <w:tblGrid>
                              <w:gridCol w:w="8900"/>
                              <w:gridCol w:w="1324"/>
                            </w:tblGrid>
                            <w:tr w14:paraId="3BE48B2B">
                              <w:tblPrEx>
                                <w:tblCellMar>
                                  <w:top w:w="0" w:type="dxa"/>
                                  <w:left w:w="108" w:type="dxa"/>
                                  <w:bottom w:w="0" w:type="dxa"/>
                                  <w:right w:w="108" w:type="dxa"/>
                                </w:tblCellMar>
                              </w:tblPrEx>
                              <w:trPr>
                                <w:cantSplit/>
                                <w:trHeight w:val="293" w:hRule="atLeast"/>
                              </w:trPr>
                              <w:tc>
                                <w:tcPr>
                                  <w:tcW w:w="8900" w:type="dxa"/>
                                  <w:vAlign w:val="center"/>
                                </w:tcPr>
                                <w:p w14:paraId="091AC9CA">
                                  <w:pPr>
                                    <w:pStyle w:val="50"/>
                                    <w:jc w:val="distribute"/>
                                    <w:rPr>
                                      <w:spacing w:val="-20"/>
                                      <w:sz w:val="28"/>
                                      <w:szCs w:val="28"/>
                                    </w:rPr>
                                  </w:pPr>
                                  <w:r>
                                    <w:rPr>
                                      <w:rFonts w:hint="eastAsia"/>
                                      <w:spacing w:val="-20"/>
                                      <w:sz w:val="28"/>
                                      <w:szCs w:val="28"/>
                                    </w:rPr>
                                    <w:t>北京智能制造创新联盟</w:t>
                                  </w:r>
                                </w:p>
                              </w:tc>
                              <w:tc>
                                <w:tcPr>
                                  <w:tcW w:w="1324" w:type="dxa"/>
                                  <w:vAlign w:val="center"/>
                                </w:tcPr>
                                <w:p w14:paraId="63BBEF9F">
                                  <w:pPr>
                                    <w:pStyle w:val="50"/>
                                    <w:rPr>
                                      <w:rFonts w:ascii="黑体" w:eastAsia="黑体"/>
                                      <w:sz w:val="28"/>
                                      <w:szCs w:val="28"/>
                                    </w:rPr>
                                  </w:pPr>
                                  <w:r>
                                    <w:rPr>
                                      <w:rFonts w:hint="eastAsia" w:ascii="黑体" w:eastAsia="黑体"/>
                                      <w:sz w:val="28"/>
                                      <w:szCs w:val="28"/>
                                    </w:rPr>
                                    <w:t xml:space="preserve">发布  </w:t>
                                  </w:r>
                                </w:p>
                              </w:tc>
                            </w:tr>
                          </w:tbl>
                          <w:p w14:paraId="49BBB362">
                            <w:pPr>
                              <w:pStyle w:val="50"/>
                              <w:spacing w:line="360" w:lineRule="exact"/>
                              <w:ind w:right="1088"/>
                              <w:jc w:val="both"/>
                              <w:rPr>
                                <w:b w:val="0"/>
                                <w:color w:val="000000"/>
                                <w:spacing w:val="54"/>
                                <w:sz w:val="44"/>
                                <w:szCs w:val="44"/>
                              </w:rPr>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11.05pt;margin-top:656pt;height:38.2pt;width:501.15pt;mso-position-horizontal-relative:margin;mso-position-vertical-relative:margin;z-index:251666432;mso-width-relative:page;mso-height-relative:page;" fillcolor="#FFFFFF" filled="t" stroked="f" coordsize="21600,21600" o:gfxdata="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WwCAdoAAAANAQAADwAAAAAA&#10;AAABACAAAAAiAAAAZHJzL2Rvd25yZXYueG1sUEsBAhQAFAAAAAgAh07iQA8Ko64RAgAAKwQAAA4A&#10;AAAAAAAAAQAgAAAAKQEAAGRycy9lMm9Eb2MueG1sUEsFBgAAAAAGAAYAWQEAAKwFAAAAAA==&#10;">
                <v:fill on="t" focussize="0,0"/>
                <v:stroke on="f"/>
                <v:imagedata o:title=""/>
                <o:lock v:ext="edit" aspectratio="f"/>
                <v:textbox inset="0mm,0mm,0mm,0mm">
                  <w:txbxContent>
                    <w:tbl>
                      <w:tblPr>
                        <w:tblStyle w:val="18"/>
                        <w:tblW w:w="0" w:type="auto"/>
                        <w:tblInd w:w="0" w:type="dxa"/>
                        <w:tblLayout w:type="fixed"/>
                        <w:tblCellMar>
                          <w:top w:w="0" w:type="dxa"/>
                          <w:left w:w="108" w:type="dxa"/>
                          <w:bottom w:w="0" w:type="dxa"/>
                          <w:right w:w="108" w:type="dxa"/>
                        </w:tblCellMar>
                      </w:tblPr>
                      <w:tblGrid>
                        <w:gridCol w:w="8900"/>
                        <w:gridCol w:w="1324"/>
                      </w:tblGrid>
                      <w:tr w14:paraId="3BE48B2B">
                        <w:tblPrEx>
                          <w:tblCellMar>
                            <w:top w:w="0" w:type="dxa"/>
                            <w:left w:w="108" w:type="dxa"/>
                            <w:bottom w:w="0" w:type="dxa"/>
                            <w:right w:w="108" w:type="dxa"/>
                          </w:tblCellMar>
                        </w:tblPrEx>
                        <w:trPr>
                          <w:cantSplit/>
                          <w:trHeight w:val="293" w:hRule="atLeast"/>
                        </w:trPr>
                        <w:tc>
                          <w:tcPr>
                            <w:tcW w:w="8900" w:type="dxa"/>
                            <w:vAlign w:val="center"/>
                          </w:tcPr>
                          <w:p w14:paraId="091AC9CA">
                            <w:pPr>
                              <w:pStyle w:val="50"/>
                              <w:jc w:val="distribute"/>
                              <w:rPr>
                                <w:spacing w:val="-20"/>
                                <w:sz w:val="28"/>
                                <w:szCs w:val="28"/>
                              </w:rPr>
                            </w:pPr>
                            <w:r>
                              <w:rPr>
                                <w:rFonts w:hint="eastAsia"/>
                                <w:spacing w:val="-20"/>
                                <w:sz w:val="28"/>
                                <w:szCs w:val="28"/>
                              </w:rPr>
                              <w:t>北京智能制造创新联盟</w:t>
                            </w:r>
                          </w:p>
                        </w:tc>
                        <w:tc>
                          <w:tcPr>
                            <w:tcW w:w="1324" w:type="dxa"/>
                            <w:vAlign w:val="center"/>
                          </w:tcPr>
                          <w:p w14:paraId="63BBEF9F">
                            <w:pPr>
                              <w:pStyle w:val="50"/>
                              <w:rPr>
                                <w:rFonts w:ascii="黑体" w:eastAsia="黑体"/>
                                <w:sz w:val="28"/>
                                <w:szCs w:val="28"/>
                              </w:rPr>
                            </w:pPr>
                            <w:r>
                              <w:rPr>
                                <w:rFonts w:hint="eastAsia" w:ascii="黑体" w:eastAsia="黑体"/>
                                <w:sz w:val="28"/>
                                <w:szCs w:val="28"/>
                              </w:rPr>
                              <w:t xml:space="preserve">发布  </w:t>
                            </w:r>
                          </w:p>
                        </w:tc>
                      </w:tr>
                    </w:tbl>
                    <w:p w14:paraId="49BBB362">
                      <w:pPr>
                        <w:pStyle w:val="50"/>
                        <w:spacing w:line="360" w:lineRule="exact"/>
                        <w:ind w:right="1088"/>
                        <w:jc w:val="both"/>
                        <w:rPr>
                          <w:b w:val="0"/>
                          <w:color w:val="000000"/>
                          <w:spacing w:val="54"/>
                          <w:sz w:val="44"/>
                          <w:szCs w:val="44"/>
                        </w:rPr>
                      </w:pPr>
                    </w:p>
                  </w:txbxContent>
                </v:textbox>
              </v:shape>
            </w:pict>
          </mc:Fallback>
        </mc:AlternateContent>
      </w:r>
      <w:r>
        <w:rPr>
          <w:rFonts w:ascii="Arial" w:hAnsi="Arial" w:cs="Arial"/>
          <w:color w:val="000000"/>
        </w:rPr>
        <mc:AlternateContent>
          <mc:Choice Requires="wps">
            <w:drawing>
              <wp:anchor distT="0" distB="0" distL="114300" distR="114300" simplePos="0" relativeHeight="251662336" behindDoc="0" locked="0" layoutInCell="1" allowOverlap="1">
                <wp:simplePos x="0" y="0"/>
                <wp:positionH relativeFrom="margin">
                  <wp:posOffset>-400685</wp:posOffset>
                </wp:positionH>
                <wp:positionV relativeFrom="margin">
                  <wp:posOffset>2279650</wp:posOffset>
                </wp:positionV>
                <wp:extent cx="6381750" cy="4396105"/>
                <wp:effectExtent l="0" t="0" r="0" b="0"/>
                <wp:wrapNone/>
                <wp:docPr id="4" name="fmFrame4"/>
                <wp:cNvGraphicFramePr/>
                <a:graphic xmlns:a="http://schemas.openxmlformats.org/drawingml/2006/main">
                  <a:graphicData uri="http://schemas.microsoft.com/office/word/2010/wordprocessingShape">
                    <wps:wsp>
                      <wps:cNvSpPr txBox="1">
                        <a:spLocks noChangeArrowheads="1"/>
                      </wps:cNvSpPr>
                      <wps:spPr bwMode="auto">
                        <a:xfrm>
                          <a:off x="0" y="0"/>
                          <a:ext cx="6381750" cy="4396105"/>
                        </a:xfrm>
                        <a:prstGeom prst="rect">
                          <a:avLst/>
                        </a:prstGeom>
                        <a:solidFill>
                          <a:srgbClr val="FFFFFF"/>
                        </a:solidFill>
                        <a:ln>
                          <a:noFill/>
                        </a:ln>
                      </wps:spPr>
                      <wps:txbx>
                        <w:txbxContent>
                          <w:p w14:paraId="0E123B34">
                            <w:pPr>
                              <w:pStyle w:val="46"/>
                              <w:rPr>
                                <w:rFonts w:ascii="黑体" w:eastAsia="黑体"/>
                                <w:color w:val="000000"/>
                                <w:sz w:val="52"/>
                                <w:szCs w:val="52"/>
                              </w:rPr>
                            </w:pPr>
                            <w:r>
                              <w:rPr>
                                <w:rFonts w:hint="eastAsia" w:ascii="黑体" w:eastAsia="黑体"/>
                                <w:color w:val="000000"/>
                                <w:sz w:val="52"/>
                                <w:szCs w:val="52"/>
                              </w:rPr>
                              <w:t>产业链协同管控平台 第1部分：参考架构</w:t>
                            </w:r>
                          </w:p>
                          <w:p w14:paraId="6C75E173">
                            <w:pPr>
                              <w:pStyle w:val="46"/>
                              <w:rPr>
                                <w:rFonts w:hint="eastAsia" w:ascii="黑体" w:hAnsi="宋体" w:eastAsia="黑体"/>
                                <w:sz w:val="28"/>
                                <w:szCs w:val="28"/>
                              </w:rPr>
                            </w:pPr>
                            <w:r>
                              <w:rPr>
                                <w:rFonts w:hint="eastAsia" w:ascii="黑体" w:hAnsi="宋体" w:eastAsia="黑体"/>
                                <w:sz w:val="28"/>
                                <w:szCs w:val="28"/>
                              </w:rPr>
                              <w:t>Industrial chain collaborative management platform—Part 1:Reference architecture</w:t>
                            </w:r>
                          </w:p>
                          <w:p w14:paraId="0156F563">
                            <w:pPr>
                              <w:pStyle w:val="46"/>
                              <w:spacing w:before="180" w:line="360" w:lineRule="auto"/>
                              <w:rPr>
                                <w:rFonts w:hint="eastAsia" w:ascii="黑体" w:hAnsi="宋体" w:eastAsia="黑体"/>
                                <w:sz w:val="28"/>
                                <w:szCs w:val="28"/>
                              </w:rPr>
                            </w:pPr>
                            <w:r>
                              <w:rPr>
                                <w:rFonts w:hint="eastAsia" w:ascii="黑体" w:hAnsi="宋体" w:eastAsia="黑体"/>
                                <w:sz w:val="28"/>
                                <w:szCs w:val="28"/>
                              </w:rPr>
                              <w:t>（</w:t>
                            </w:r>
                            <w:r>
                              <w:rPr>
                                <w:rFonts w:hint="eastAsia" w:ascii="黑体" w:hAnsi="宋体" w:eastAsia="黑体"/>
                                <w:sz w:val="28"/>
                                <w:szCs w:val="28"/>
                                <w:lang w:val="en-US" w:eastAsia="zh-CN"/>
                              </w:rPr>
                              <w:t>征求意见</w:t>
                            </w:r>
                            <w:r>
                              <w:rPr>
                                <w:rFonts w:hint="eastAsia" w:ascii="黑体" w:hAnsi="宋体" w:eastAsia="黑体"/>
                                <w:sz w:val="28"/>
                                <w:szCs w:val="28"/>
                              </w:rPr>
                              <w:t>稿）</w:t>
                            </w:r>
                          </w:p>
                          <w:p w14:paraId="00108D24">
                            <w:pPr>
                              <w:pStyle w:val="46"/>
                              <w:rPr>
                                <w:rFonts w:hint="eastAsia" w:ascii="黑体" w:hAnsi="宋体" w:eastAsia="黑体"/>
                                <w:sz w:val="28"/>
                                <w:szCs w:val="28"/>
                              </w:rPr>
                            </w:pPr>
                            <w:r>
                              <w:rPr>
                                <w:rFonts w:ascii="黑体" w:hAnsi="宋体" w:eastAsia="黑体"/>
                                <w:sz w:val="28"/>
                                <w:szCs w:val="28"/>
                              </w:rPr>
                              <w:br w:type="textWrapping"/>
                            </w:r>
                          </w:p>
                          <w:p w14:paraId="16035E12">
                            <w:pPr>
                              <w:pStyle w:val="45"/>
                              <w:rPr>
                                <w:color w:val="000000"/>
                              </w:rPr>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31.55pt;margin-top:179.5pt;height:346.15pt;width:502.5pt;mso-position-horizontal-relative:margin;mso-position-vertical-relative:margin;z-index:251662336;mso-width-relative:page;mso-height-relative:page;" fillcolor="#FFFFFF" filled="t" stroked="f" coordsize="21600,21600" o:gfxdata="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QHtIn2wAAAAwBAAAPAAAA&#10;AAAAAAEAIAAAACIAAABkcnMvZG93bnJldi54bWxQSwECFAAUAAAACACHTuJAWlkNXhICAAAsBAAA&#10;DgAAAAAAAAABACAAAAAqAQAAZHJzL2Uyb0RvYy54bWxQSwUGAAAAAAYABgBZAQAArgUAAAAA&#10;">
                <v:fill on="t" focussize="0,0"/>
                <v:stroke on="f"/>
                <v:imagedata o:title=""/>
                <o:lock v:ext="edit" aspectratio="f"/>
                <v:textbox inset="0mm,0mm,0mm,0mm">
                  <w:txbxContent>
                    <w:p w14:paraId="0E123B34">
                      <w:pPr>
                        <w:pStyle w:val="46"/>
                        <w:rPr>
                          <w:rFonts w:ascii="黑体" w:eastAsia="黑体"/>
                          <w:color w:val="000000"/>
                          <w:sz w:val="52"/>
                          <w:szCs w:val="52"/>
                        </w:rPr>
                      </w:pPr>
                      <w:r>
                        <w:rPr>
                          <w:rFonts w:hint="eastAsia" w:ascii="黑体" w:eastAsia="黑体"/>
                          <w:color w:val="000000"/>
                          <w:sz w:val="52"/>
                          <w:szCs w:val="52"/>
                        </w:rPr>
                        <w:t>产业链协同管控平台 第1部分：参考架构</w:t>
                      </w:r>
                    </w:p>
                    <w:p w14:paraId="6C75E173">
                      <w:pPr>
                        <w:pStyle w:val="46"/>
                        <w:rPr>
                          <w:rFonts w:hint="eastAsia" w:ascii="黑体" w:hAnsi="宋体" w:eastAsia="黑体"/>
                          <w:sz w:val="28"/>
                          <w:szCs w:val="28"/>
                        </w:rPr>
                      </w:pPr>
                      <w:r>
                        <w:rPr>
                          <w:rFonts w:hint="eastAsia" w:ascii="黑体" w:hAnsi="宋体" w:eastAsia="黑体"/>
                          <w:sz w:val="28"/>
                          <w:szCs w:val="28"/>
                        </w:rPr>
                        <w:t>Industrial chain collaborative management platform—Part 1:Reference architecture</w:t>
                      </w:r>
                    </w:p>
                    <w:p w14:paraId="0156F563">
                      <w:pPr>
                        <w:pStyle w:val="46"/>
                        <w:spacing w:before="180" w:line="360" w:lineRule="auto"/>
                        <w:rPr>
                          <w:rFonts w:hint="eastAsia" w:ascii="黑体" w:hAnsi="宋体" w:eastAsia="黑体"/>
                          <w:sz w:val="28"/>
                          <w:szCs w:val="28"/>
                        </w:rPr>
                      </w:pPr>
                      <w:r>
                        <w:rPr>
                          <w:rFonts w:hint="eastAsia" w:ascii="黑体" w:hAnsi="宋体" w:eastAsia="黑体"/>
                          <w:sz w:val="28"/>
                          <w:szCs w:val="28"/>
                        </w:rPr>
                        <w:t>（</w:t>
                      </w:r>
                      <w:r>
                        <w:rPr>
                          <w:rFonts w:hint="eastAsia" w:ascii="黑体" w:hAnsi="宋体" w:eastAsia="黑体"/>
                          <w:sz w:val="28"/>
                          <w:szCs w:val="28"/>
                          <w:lang w:val="en-US" w:eastAsia="zh-CN"/>
                        </w:rPr>
                        <w:t>征求意见</w:t>
                      </w:r>
                      <w:r>
                        <w:rPr>
                          <w:rFonts w:hint="eastAsia" w:ascii="黑体" w:hAnsi="宋体" w:eastAsia="黑体"/>
                          <w:sz w:val="28"/>
                          <w:szCs w:val="28"/>
                        </w:rPr>
                        <w:t>稿）</w:t>
                      </w:r>
                    </w:p>
                    <w:p w14:paraId="00108D24">
                      <w:pPr>
                        <w:pStyle w:val="46"/>
                        <w:rPr>
                          <w:rFonts w:hint="eastAsia" w:ascii="黑体" w:hAnsi="宋体" w:eastAsia="黑体"/>
                          <w:sz w:val="28"/>
                          <w:szCs w:val="28"/>
                        </w:rPr>
                      </w:pPr>
                      <w:r>
                        <w:rPr>
                          <w:rFonts w:ascii="黑体" w:hAnsi="宋体" w:eastAsia="黑体"/>
                          <w:sz w:val="28"/>
                          <w:szCs w:val="28"/>
                        </w:rPr>
                        <w:br w:type="textWrapping"/>
                      </w:r>
                    </w:p>
                    <w:p w14:paraId="16035E12">
                      <w:pPr>
                        <w:pStyle w:val="45"/>
                        <w:rPr>
                          <w:color w:val="000000"/>
                        </w:rPr>
                      </w:pPr>
                    </w:p>
                  </w:txbxContent>
                </v:textbox>
              </v:shape>
            </w:pict>
          </mc:Fallback>
        </mc:AlternateContent>
      </w:r>
    </w:p>
    <w:p w14:paraId="17D73146">
      <w:pPr>
        <w:pStyle w:val="57"/>
        <w:spacing w:after="360"/>
      </w:pPr>
      <w:bookmarkStart w:id="1" w:name="BookMark1"/>
      <w:r>
        <w:rPr>
          <w:rFonts w:hint="eastAsia"/>
          <w:spacing w:val="320"/>
        </w:rPr>
        <w:t>目</w:t>
      </w:r>
      <w:r>
        <w:rPr>
          <w:rFonts w:hint="eastAsia"/>
        </w:rPr>
        <w:t>次</w:t>
      </w:r>
    </w:p>
    <w:p w14:paraId="10E9CAC6">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TOC \o "1-1" \h \t "标准文件_一级条标题,2,标准文件_附录一级条标题,2,"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HYPERLINK \l _Toc22326 </w:instrText>
      </w:r>
      <w:r>
        <w:rPr>
          <w:rFonts w:ascii="Times New Roman" w:hAnsi="Times New Roman"/>
        </w:rPr>
        <w:fldChar w:fldCharType="separate"/>
      </w:r>
      <w:r>
        <w:rPr>
          <w:rFonts w:hint="eastAsia"/>
          <w:spacing w:val="320"/>
        </w:rPr>
        <w:t>前</w:t>
      </w:r>
      <w:r>
        <w:rPr>
          <w:rFonts w:hint="eastAsia"/>
        </w:rPr>
        <w:t>言</w:t>
      </w:r>
      <w:r>
        <w:tab/>
      </w:r>
      <w:r>
        <w:fldChar w:fldCharType="begin"/>
      </w:r>
      <w:r>
        <w:instrText xml:space="preserve"> PAGEREF _Toc22326 \h </w:instrText>
      </w:r>
      <w:r>
        <w:fldChar w:fldCharType="separate"/>
      </w:r>
      <w:r>
        <w:t>II</w:t>
      </w:r>
      <w:r>
        <w:fldChar w:fldCharType="end"/>
      </w:r>
      <w:r>
        <w:rPr>
          <w:rFonts w:ascii="Times New Roman" w:hAnsi="Times New Roman"/>
        </w:rPr>
        <w:fldChar w:fldCharType="end"/>
      </w:r>
    </w:p>
    <w:p w14:paraId="17A82128">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_Toc26334 </w:instrText>
      </w:r>
      <w:r>
        <w:rPr>
          <w:rFonts w:ascii="Times New Roman" w:hAnsi="Times New Roman"/>
        </w:rPr>
        <w:fldChar w:fldCharType="separate"/>
      </w:r>
      <w:r>
        <w:rPr>
          <w:rFonts w:hint="eastAsia"/>
          <w:spacing w:val="320"/>
        </w:rPr>
        <w:t>引</w:t>
      </w:r>
      <w:r>
        <w:rPr>
          <w:rFonts w:hint="eastAsia"/>
        </w:rPr>
        <w:t>言</w:t>
      </w:r>
      <w:r>
        <w:tab/>
      </w:r>
      <w:r>
        <w:fldChar w:fldCharType="begin"/>
      </w:r>
      <w:r>
        <w:instrText xml:space="preserve"> PAGEREF _Toc26334 \h </w:instrText>
      </w:r>
      <w:r>
        <w:fldChar w:fldCharType="separate"/>
      </w:r>
      <w:r>
        <w:t>III</w:t>
      </w:r>
      <w:r>
        <w:fldChar w:fldCharType="end"/>
      </w:r>
      <w:r>
        <w:rPr>
          <w:rFonts w:ascii="Times New Roman" w:hAnsi="Times New Roman"/>
        </w:rPr>
        <w:fldChar w:fldCharType="end"/>
      </w:r>
    </w:p>
    <w:p w14:paraId="021EC778">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_Toc12017 </w:instrText>
      </w:r>
      <w:r>
        <w:rPr>
          <w:rFonts w:ascii="Times New Roman" w:hAnsi="Times New Roman"/>
        </w:rPr>
        <w:fldChar w:fldCharType="separate"/>
      </w:r>
      <w:r>
        <w:rPr>
          <w:rFonts w:hint="eastAsia" w:ascii="黑体" w:eastAsia="黑体"/>
          <w:i w:val="0"/>
        </w:rPr>
        <w:t xml:space="preserve">1 </w:t>
      </w:r>
      <w:r>
        <w:rPr>
          <w:rFonts w:hint="eastAsia"/>
        </w:rPr>
        <w:t>范围</w:t>
      </w:r>
      <w:r>
        <w:tab/>
      </w:r>
      <w:r>
        <w:fldChar w:fldCharType="begin"/>
      </w:r>
      <w:r>
        <w:instrText xml:space="preserve"> PAGEREF _Toc12017 \h </w:instrText>
      </w:r>
      <w:r>
        <w:fldChar w:fldCharType="separate"/>
      </w:r>
      <w:r>
        <w:t>1</w:t>
      </w:r>
      <w:r>
        <w:fldChar w:fldCharType="end"/>
      </w:r>
      <w:r>
        <w:rPr>
          <w:rFonts w:ascii="Times New Roman" w:hAnsi="Times New Roman"/>
        </w:rPr>
        <w:fldChar w:fldCharType="end"/>
      </w:r>
    </w:p>
    <w:p w14:paraId="6708504A">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_Toc13254 </w:instrText>
      </w:r>
      <w:r>
        <w:rPr>
          <w:rFonts w:ascii="Times New Roman" w:hAnsi="Times New Roma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_Toc13254 \h </w:instrText>
      </w:r>
      <w:r>
        <w:fldChar w:fldCharType="separate"/>
      </w:r>
      <w:r>
        <w:t>1</w:t>
      </w:r>
      <w:r>
        <w:fldChar w:fldCharType="end"/>
      </w:r>
      <w:r>
        <w:rPr>
          <w:rFonts w:ascii="Times New Roman" w:hAnsi="Times New Roman"/>
        </w:rPr>
        <w:fldChar w:fldCharType="end"/>
      </w:r>
    </w:p>
    <w:p w14:paraId="65B4F834">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_Toc1927 </w:instrText>
      </w:r>
      <w:r>
        <w:rPr>
          <w:rFonts w:ascii="Times New Roman" w:hAnsi="Times New Roman"/>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_Toc1927 \h </w:instrText>
      </w:r>
      <w:r>
        <w:fldChar w:fldCharType="separate"/>
      </w:r>
      <w:r>
        <w:t>1</w:t>
      </w:r>
      <w:r>
        <w:fldChar w:fldCharType="end"/>
      </w:r>
      <w:r>
        <w:rPr>
          <w:rFonts w:ascii="Times New Roman" w:hAnsi="Times New Roman"/>
        </w:rPr>
        <w:fldChar w:fldCharType="end"/>
      </w:r>
    </w:p>
    <w:p w14:paraId="7C2873CA">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_Toc14641 </w:instrText>
      </w:r>
      <w:r>
        <w:rPr>
          <w:rFonts w:ascii="Times New Roman" w:hAnsi="Times New Roman"/>
        </w:rPr>
        <w:fldChar w:fldCharType="separate"/>
      </w:r>
      <w:r>
        <w:rPr>
          <w:rFonts w:hint="eastAsia" w:ascii="黑体" w:eastAsia="黑体"/>
          <w:i w:val="0"/>
        </w:rPr>
        <w:t xml:space="preserve">4 </w:t>
      </w:r>
      <w:r>
        <w:rPr>
          <w:rFonts w:hint="eastAsia"/>
        </w:rPr>
        <w:t>缩略语</w:t>
      </w:r>
      <w:r>
        <w:tab/>
      </w:r>
      <w:r>
        <w:fldChar w:fldCharType="begin"/>
      </w:r>
      <w:r>
        <w:instrText xml:space="preserve"> PAGEREF _Toc14641 \h </w:instrText>
      </w:r>
      <w:r>
        <w:fldChar w:fldCharType="separate"/>
      </w:r>
      <w:r>
        <w:t>1</w:t>
      </w:r>
      <w:r>
        <w:fldChar w:fldCharType="end"/>
      </w:r>
      <w:r>
        <w:rPr>
          <w:rFonts w:ascii="Times New Roman" w:hAnsi="Times New Roman"/>
        </w:rPr>
        <w:fldChar w:fldCharType="end"/>
      </w:r>
    </w:p>
    <w:p w14:paraId="38FAAC67">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_Toc25183 </w:instrText>
      </w:r>
      <w:r>
        <w:rPr>
          <w:rFonts w:ascii="Times New Roman" w:hAnsi="Times New Roman"/>
        </w:rPr>
        <w:fldChar w:fldCharType="separate"/>
      </w:r>
      <w:r>
        <w:rPr>
          <w:rFonts w:hint="eastAsia" w:ascii="黑体" w:eastAsia="黑体"/>
          <w:i w:val="0"/>
        </w:rPr>
        <w:t xml:space="preserve">5 </w:t>
      </w:r>
      <w:r>
        <w:rPr>
          <w:rFonts w:hint="eastAsia"/>
        </w:rPr>
        <w:t>平台总体设计原则</w:t>
      </w:r>
      <w:r>
        <w:tab/>
      </w:r>
      <w:r>
        <w:fldChar w:fldCharType="begin"/>
      </w:r>
      <w:r>
        <w:instrText xml:space="preserve"> PAGEREF _Toc25183 \h </w:instrText>
      </w:r>
      <w:r>
        <w:fldChar w:fldCharType="separate"/>
      </w:r>
      <w:r>
        <w:t>2</w:t>
      </w:r>
      <w:r>
        <w:fldChar w:fldCharType="end"/>
      </w:r>
      <w:r>
        <w:rPr>
          <w:rFonts w:ascii="Times New Roman" w:hAnsi="Times New Roman"/>
        </w:rPr>
        <w:fldChar w:fldCharType="end"/>
      </w:r>
    </w:p>
    <w:p w14:paraId="08E539D1">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_Toc7558 </w:instrText>
      </w:r>
      <w:r>
        <w:rPr>
          <w:rFonts w:ascii="Times New Roman" w:hAnsi="Times New Roman"/>
        </w:rPr>
        <w:fldChar w:fldCharType="separate"/>
      </w:r>
      <w:r>
        <w:rPr>
          <w:rFonts w:hint="eastAsia" w:ascii="黑体" w:eastAsia="黑体"/>
          <w:i w:val="0"/>
        </w:rPr>
        <w:t xml:space="preserve">6 </w:t>
      </w:r>
      <w:r>
        <w:t>平台</w:t>
      </w:r>
      <w:r>
        <w:rPr>
          <w:rFonts w:hint="eastAsia"/>
        </w:rPr>
        <w:t>参考架构</w:t>
      </w:r>
      <w:r>
        <w:tab/>
      </w:r>
      <w:r>
        <w:fldChar w:fldCharType="begin"/>
      </w:r>
      <w:r>
        <w:instrText xml:space="preserve"> PAGEREF _Toc7558 \h </w:instrText>
      </w:r>
      <w:r>
        <w:fldChar w:fldCharType="separate"/>
      </w:r>
      <w:r>
        <w:t>2</w:t>
      </w:r>
      <w:r>
        <w:fldChar w:fldCharType="end"/>
      </w:r>
      <w:r>
        <w:rPr>
          <w:rFonts w:ascii="Times New Roman" w:hAnsi="Times New Roman"/>
        </w:rPr>
        <w:fldChar w:fldCharType="end"/>
      </w:r>
    </w:p>
    <w:p w14:paraId="5F792DC4">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_Toc13424 </w:instrText>
      </w:r>
      <w:r>
        <w:rPr>
          <w:rFonts w:ascii="Times New Roman" w:hAnsi="Times New Roman"/>
        </w:rPr>
        <w:fldChar w:fldCharType="separate"/>
      </w:r>
      <w:r>
        <w:rPr>
          <w:rFonts w:hint="eastAsia" w:ascii="黑体" w:eastAsia="黑体"/>
          <w:i w:val="0"/>
        </w:rPr>
        <w:t xml:space="preserve">7 </w:t>
      </w:r>
      <w:r>
        <w:rPr>
          <w:rFonts w:hint="eastAsia"/>
        </w:rPr>
        <w:t>平台功能要求</w:t>
      </w:r>
      <w:r>
        <w:tab/>
      </w:r>
      <w:r>
        <w:fldChar w:fldCharType="begin"/>
      </w:r>
      <w:r>
        <w:instrText xml:space="preserve"> PAGEREF _Toc13424 \h </w:instrText>
      </w:r>
      <w:r>
        <w:fldChar w:fldCharType="separate"/>
      </w:r>
      <w:r>
        <w:t>3</w:t>
      </w:r>
      <w:r>
        <w:fldChar w:fldCharType="end"/>
      </w:r>
      <w:r>
        <w:rPr>
          <w:rFonts w:ascii="Times New Roman" w:hAnsi="Times New Roman"/>
        </w:rPr>
        <w:fldChar w:fldCharType="end"/>
      </w:r>
    </w:p>
    <w:p w14:paraId="093D222C">
      <w:pPr>
        <w:pStyle w:val="16"/>
        <w:tabs>
          <w:tab w:val="right" w:leader="dot" w:pos="9354"/>
        </w:tabs>
      </w:pPr>
      <w:r>
        <w:rPr>
          <w:rFonts w:ascii="Times New Roman" w:hAnsi="Times New Roman"/>
        </w:rPr>
        <w:fldChar w:fldCharType="begin"/>
      </w:r>
      <w:r>
        <w:rPr>
          <w:rFonts w:ascii="Times New Roman" w:hAnsi="Times New Roman"/>
        </w:rPr>
        <w:instrText xml:space="preserve"> HYPERLINK \l _Toc4420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rPr>
        <w:t>总则</w:t>
      </w:r>
      <w:r>
        <w:tab/>
      </w:r>
      <w:r>
        <w:fldChar w:fldCharType="begin"/>
      </w:r>
      <w:r>
        <w:instrText xml:space="preserve"> PAGEREF _Toc4420 \h </w:instrText>
      </w:r>
      <w:r>
        <w:fldChar w:fldCharType="separate"/>
      </w:r>
      <w:r>
        <w:t>3</w:t>
      </w:r>
      <w:r>
        <w:fldChar w:fldCharType="end"/>
      </w:r>
      <w:r>
        <w:rPr>
          <w:rFonts w:ascii="Times New Roman" w:hAnsi="Times New Roman"/>
        </w:rPr>
        <w:fldChar w:fldCharType="end"/>
      </w:r>
    </w:p>
    <w:p w14:paraId="69F5239A">
      <w:pPr>
        <w:pStyle w:val="16"/>
        <w:tabs>
          <w:tab w:val="right" w:leader="dot" w:pos="9354"/>
        </w:tabs>
      </w:pPr>
      <w:r>
        <w:rPr>
          <w:rFonts w:ascii="Times New Roman" w:hAnsi="Times New Roman"/>
        </w:rPr>
        <w:fldChar w:fldCharType="begin"/>
      </w:r>
      <w:r>
        <w:rPr>
          <w:rFonts w:ascii="Times New Roman" w:hAnsi="Times New Roman"/>
        </w:rPr>
        <w:instrText xml:space="preserve"> HYPERLINK \l _Toc26111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rPr>
        <w:t>基础设施层功能要求</w:t>
      </w:r>
      <w:r>
        <w:tab/>
      </w:r>
      <w:r>
        <w:fldChar w:fldCharType="begin"/>
      </w:r>
      <w:r>
        <w:instrText xml:space="preserve"> PAGEREF _Toc26111 \h </w:instrText>
      </w:r>
      <w:r>
        <w:fldChar w:fldCharType="separate"/>
      </w:r>
      <w:r>
        <w:t>3</w:t>
      </w:r>
      <w:r>
        <w:fldChar w:fldCharType="end"/>
      </w:r>
      <w:r>
        <w:rPr>
          <w:rFonts w:ascii="Times New Roman" w:hAnsi="Times New Roman"/>
        </w:rPr>
        <w:fldChar w:fldCharType="end"/>
      </w:r>
    </w:p>
    <w:p w14:paraId="0D0F1696">
      <w:pPr>
        <w:pStyle w:val="16"/>
        <w:tabs>
          <w:tab w:val="right" w:leader="dot" w:pos="9354"/>
        </w:tabs>
      </w:pPr>
      <w:r>
        <w:rPr>
          <w:rFonts w:ascii="Times New Roman" w:hAnsi="Times New Roman"/>
        </w:rPr>
        <w:fldChar w:fldCharType="begin"/>
      </w:r>
      <w:r>
        <w:rPr>
          <w:rFonts w:ascii="Times New Roman" w:hAnsi="Times New Roman"/>
        </w:rPr>
        <w:instrText xml:space="preserve"> HYPERLINK \l _Toc30300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rPr>
        <w:t>数据管理层功能要求</w:t>
      </w:r>
      <w:r>
        <w:tab/>
      </w:r>
      <w:r>
        <w:fldChar w:fldCharType="begin"/>
      </w:r>
      <w:r>
        <w:instrText xml:space="preserve"> PAGEREF _Toc30300 \h </w:instrText>
      </w:r>
      <w:r>
        <w:fldChar w:fldCharType="separate"/>
      </w:r>
      <w:r>
        <w:t>3</w:t>
      </w:r>
      <w:r>
        <w:fldChar w:fldCharType="end"/>
      </w:r>
      <w:r>
        <w:rPr>
          <w:rFonts w:ascii="Times New Roman" w:hAnsi="Times New Roman"/>
        </w:rPr>
        <w:fldChar w:fldCharType="end"/>
      </w:r>
    </w:p>
    <w:p w14:paraId="5DA90F65">
      <w:pPr>
        <w:pStyle w:val="16"/>
        <w:tabs>
          <w:tab w:val="right" w:leader="dot" w:pos="9354"/>
        </w:tabs>
      </w:pPr>
      <w:r>
        <w:rPr>
          <w:rFonts w:ascii="Times New Roman" w:hAnsi="Times New Roman"/>
        </w:rPr>
        <w:fldChar w:fldCharType="begin"/>
      </w:r>
      <w:r>
        <w:rPr>
          <w:rFonts w:ascii="Times New Roman" w:hAnsi="Times New Roman"/>
        </w:rPr>
        <w:instrText xml:space="preserve"> HYPERLINK \l _Toc26893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rPr>
        <w:t>标识解析层功能要求</w:t>
      </w:r>
      <w:r>
        <w:tab/>
      </w:r>
      <w:r>
        <w:fldChar w:fldCharType="begin"/>
      </w:r>
      <w:r>
        <w:instrText xml:space="preserve"> PAGEREF _Toc26893 \h </w:instrText>
      </w:r>
      <w:r>
        <w:fldChar w:fldCharType="separate"/>
      </w:r>
      <w:r>
        <w:t>4</w:t>
      </w:r>
      <w:r>
        <w:fldChar w:fldCharType="end"/>
      </w:r>
      <w:r>
        <w:rPr>
          <w:rFonts w:ascii="Times New Roman" w:hAnsi="Times New Roman"/>
        </w:rPr>
        <w:fldChar w:fldCharType="end"/>
      </w:r>
    </w:p>
    <w:p w14:paraId="6F2A923B">
      <w:pPr>
        <w:pStyle w:val="16"/>
        <w:tabs>
          <w:tab w:val="right" w:leader="dot" w:pos="9354"/>
        </w:tabs>
      </w:pPr>
      <w:r>
        <w:rPr>
          <w:rFonts w:ascii="Times New Roman" w:hAnsi="Times New Roman"/>
        </w:rPr>
        <w:fldChar w:fldCharType="begin"/>
      </w:r>
      <w:r>
        <w:rPr>
          <w:rFonts w:ascii="Times New Roman" w:hAnsi="Times New Roman"/>
        </w:rPr>
        <w:instrText xml:space="preserve"> HYPERLINK \l _Toc30543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7.5 </w:t>
      </w:r>
      <w:r>
        <w:rPr>
          <w:rFonts w:hint="eastAsia"/>
        </w:rPr>
        <w:t>平台支撑层功能要求</w:t>
      </w:r>
      <w:r>
        <w:tab/>
      </w:r>
      <w:r>
        <w:fldChar w:fldCharType="begin"/>
      </w:r>
      <w:r>
        <w:instrText xml:space="preserve"> PAGEREF _Toc30543 \h </w:instrText>
      </w:r>
      <w:r>
        <w:fldChar w:fldCharType="separate"/>
      </w:r>
      <w:r>
        <w:t>5</w:t>
      </w:r>
      <w:r>
        <w:fldChar w:fldCharType="end"/>
      </w:r>
      <w:r>
        <w:rPr>
          <w:rFonts w:ascii="Times New Roman" w:hAnsi="Times New Roman"/>
        </w:rPr>
        <w:fldChar w:fldCharType="end"/>
      </w:r>
    </w:p>
    <w:p w14:paraId="1C201505">
      <w:pPr>
        <w:pStyle w:val="16"/>
        <w:tabs>
          <w:tab w:val="right" w:leader="dot" w:pos="9354"/>
        </w:tabs>
      </w:pPr>
      <w:r>
        <w:rPr>
          <w:rFonts w:ascii="Times New Roman" w:hAnsi="Times New Roman"/>
        </w:rPr>
        <w:fldChar w:fldCharType="begin"/>
      </w:r>
      <w:r>
        <w:rPr>
          <w:rFonts w:ascii="Times New Roman" w:hAnsi="Times New Roman"/>
        </w:rPr>
        <w:instrText xml:space="preserve"> HYPERLINK \l _Toc25719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7.6 </w:t>
      </w:r>
      <w:r>
        <w:rPr>
          <w:rFonts w:hint="eastAsia"/>
        </w:rPr>
        <w:t>功能构件层功能要求</w:t>
      </w:r>
      <w:r>
        <w:tab/>
      </w:r>
      <w:r>
        <w:fldChar w:fldCharType="begin"/>
      </w:r>
      <w:r>
        <w:instrText xml:space="preserve"> PAGEREF _Toc25719 \h </w:instrText>
      </w:r>
      <w:r>
        <w:fldChar w:fldCharType="separate"/>
      </w:r>
      <w:r>
        <w:t>5</w:t>
      </w:r>
      <w:r>
        <w:fldChar w:fldCharType="end"/>
      </w:r>
      <w:r>
        <w:rPr>
          <w:rFonts w:ascii="Times New Roman" w:hAnsi="Times New Roman"/>
        </w:rPr>
        <w:fldChar w:fldCharType="end"/>
      </w:r>
    </w:p>
    <w:p w14:paraId="3F7A26D8">
      <w:pPr>
        <w:pStyle w:val="16"/>
        <w:tabs>
          <w:tab w:val="right" w:leader="dot" w:pos="9354"/>
        </w:tabs>
      </w:pPr>
      <w:r>
        <w:rPr>
          <w:rFonts w:ascii="Times New Roman" w:hAnsi="Times New Roman"/>
        </w:rPr>
        <w:fldChar w:fldCharType="begin"/>
      </w:r>
      <w:r>
        <w:rPr>
          <w:rFonts w:ascii="Times New Roman" w:hAnsi="Times New Roman"/>
        </w:rPr>
        <w:instrText xml:space="preserve"> HYPERLINK \l _Toc13414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7.7 </w:t>
      </w:r>
      <w:r>
        <w:rPr>
          <w:rFonts w:hint="eastAsia"/>
        </w:rPr>
        <w:t>业务应用层功能要求</w:t>
      </w:r>
      <w:r>
        <w:tab/>
      </w:r>
      <w:r>
        <w:fldChar w:fldCharType="begin"/>
      </w:r>
      <w:r>
        <w:instrText xml:space="preserve"> PAGEREF _Toc13414 \h </w:instrText>
      </w:r>
      <w:r>
        <w:fldChar w:fldCharType="separate"/>
      </w:r>
      <w:r>
        <w:t>6</w:t>
      </w:r>
      <w:r>
        <w:fldChar w:fldCharType="end"/>
      </w:r>
      <w:r>
        <w:rPr>
          <w:rFonts w:ascii="Times New Roman" w:hAnsi="Times New Roman"/>
        </w:rPr>
        <w:fldChar w:fldCharType="end"/>
      </w:r>
    </w:p>
    <w:p w14:paraId="745ED942">
      <w:pPr>
        <w:pStyle w:val="16"/>
        <w:tabs>
          <w:tab w:val="right" w:leader="dot" w:pos="9354"/>
        </w:tabs>
      </w:pPr>
      <w:r>
        <w:rPr>
          <w:rFonts w:ascii="Times New Roman" w:hAnsi="Times New Roman"/>
        </w:rPr>
        <w:fldChar w:fldCharType="begin"/>
      </w:r>
      <w:r>
        <w:rPr>
          <w:rFonts w:ascii="Times New Roman" w:hAnsi="Times New Roman"/>
        </w:rPr>
        <w:instrText xml:space="preserve"> HYPERLINK \l _Toc8407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7.8 </w:t>
      </w:r>
      <w:r>
        <w:rPr>
          <w:rFonts w:hint="eastAsia"/>
        </w:rPr>
        <w:t>协同对象层功能要求</w:t>
      </w:r>
      <w:r>
        <w:tab/>
      </w:r>
      <w:r>
        <w:fldChar w:fldCharType="begin"/>
      </w:r>
      <w:r>
        <w:instrText xml:space="preserve"> PAGEREF _Toc8407 \h </w:instrText>
      </w:r>
      <w:r>
        <w:fldChar w:fldCharType="separate"/>
      </w:r>
      <w:r>
        <w:t>7</w:t>
      </w:r>
      <w:r>
        <w:fldChar w:fldCharType="end"/>
      </w:r>
      <w:r>
        <w:rPr>
          <w:rFonts w:ascii="Times New Roman" w:hAnsi="Times New Roman"/>
        </w:rPr>
        <w:fldChar w:fldCharType="end"/>
      </w:r>
    </w:p>
    <w:p w14:paraId="60A171BC">
      <w:pPr>
        <w:pStyle w:val="14"/>
        <w:tabs>
          <w:tab w:val="right" w:leader="dot" w:pos="9354"/>
          <w:tab w:val="clear" w:pos="9345"/>
        </w:tabs>
      </w:pPr>
      <w:r>
        <w:rPr>
          <w:rFonts w:ascii="Times New Roman" w:hAnsi="Times New Roman"/>
        </w:rPr>
        <w:fldChar w:fldCharType="begin"/>
      </w:r>
      <w:r>
        <w:rPr>
          <w:rFonts w:ascii="Times New Roman" w:hAnsi="Times New Roman"/>
        </w:rPr>
        <w:instrText xml:space="preserve"> HYPERLINK \l _Toc8058 </w:instrText>
      </w:r>
      <w:r>
        <w:rPr>
          <w:rFonts w:ascii="Times New Roman" w:hAnsi="Times New Roman"/>
        </w:rPr>
        <w:fldChar w:fldCharType="separate"/>
      </w:r>
      <w:r>
        <w:rPr>
          <w:rFonts w:hint="eastAsia" w:ascii="黑体" w:eastAsia="黑体"/>
          <w:i w:val="0"/>
        </w:rPr>
        <w:t xml:space="preserve">8 </w:t>
      </w:r>
      <w:r>
        <w:rPr>
          <w:rFonts w:hint="eastAsia"/>
        </w:rPr>
        <w:t>平台技术要求</w:t>
      </w:r>
      <w:r>
        <w:tab/>
      </w:r>
      <w:r>
        <w:fldChar w:fldCharType="begin"/>
      </w:r>
      <w:r>
        <w:instrText xml:space="preserve"> PAGEREF _Toc8058 \h </w:instrText>
      </w:r>
      <w:r>
        <w:fldChar w:fldCharType="separate"/>
      </w:r>
      <w:r>
        <w:t>7</w:t>
      </w:r>
      <w:r>
        <w:fldChar w:fldCharType="end"/>
      </w:r>
      <w:r>
        <w:rPr>
          <w:rFonts w:ascii="Times New Roman" w:hAnsi="Times New Roman"/>
        </w:rPr>
        <w:fldChar w:fldCharType="end"/>
      </w:r>
    </w:p>
    <w:p w14:paraId="1E48B9BC">
      <w:pPr>
        <w:pStyle w:val="16"/>
        <w:tabs>
          <w:tab w:val="right" w:leader="dot" w:pos="9354"/>
        </w:tabs>
      </w:pPr>
      <w:r>
        <w:rPr>
          <w:rFonts w:ascii="Times New Roman" w:hAnsi="Times New Roman"/>
        </w:rPr>
        <w:fldChar w:fldCharType="begin"/>
      </w:r>
      <w:r>
        <w:rPr>
          <w:rFonts w:ascii="Times New Roman" w:hAnsi="Times New Roman"/>
        </w:rPr>
        <w:instrText xml:space="preserve"> HYPERLINK \l _Toc3491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rPr>
        <w:t>兼容性要求</w:t>
      </w:r>
      <w:r>
        <w:tab/>
      </w:r>
      <w:r>
        <w:fldChar w:fldCharType="begin"/>
      </w:r>
      <w:r>
        <w:instrText xml:space="preserve"> PAGEREF _Toc3491 \h </w:instrText>
      </w:r>
      <w:r>
        <w:fldChar w:fldCharType="separate"/>
      </w:r>
      <w:r>
        <w:t>7</w:t>
      </w:r>
      <w:r>
        <w:fldChar w:fldCharType="end"/>
      </w:r>
      <w:r>
        <w:rPr>
          <w:rFonts w:ascii="Times New Roman" w:hAnsi="Times New Roman"/>
        </w:rPr>
        <w:fldChar w:fldCharType="end"/>
      </w:r>
    </w:p>
    <w:p w14:paraId="0CE1457A">
      <w:pPr>
        <w:pStyle w:val="16"/>
        <w:tabs>
          <w:tab w:val="right" w:leader="dot" w:pos="9354"/>
        </w:tabs>
      </w:pPr>
      <w:r>
        <w:rPr>
          <w:rFonts w:ascii="Times New Roman" w:hAnsi="Times New Roman"/>
        </w:rPr>
        <w:fldChar w:fldCharType="begin"/>
      </w:r>
      <w:r>
        <w:rPr>
          <w:rFonts w:ascii="Times New Roman" w:hAnsi="Times New Roman"/>
        </w:rPr>
        <w:instrText xml:space="preserve"> HYPERLINK \l _Toc8994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rPr>
        <w:t>安全性要求</w:t>
      </w:r>
      <w:r>
        <w:tab/>
      </w:r>
      <w:r>
        <w:fldChar w:fldCharType="begin"/>
      </w:r>
      <w:r>
        <w:instrText xml:space="preserve"> PAGEREF _Toc8994 \h </w:instrText>
      </w:r>
      <w:r>
        <w:fldChar w:fldCharType="separate"/>
      </w:r>
      <w:r>
        <w:t>7</w:t>
      </w:r>
      <w:r>
        <w:fldChar w:fldCharType="end"/>
      </w:r>
      <w:r>
        <w:rPr>
          <w:rFonts w:ascii="Times New Roman" w:hAnsi="Times New Roman"/>
        </w:rPr>
        <w:fldChar w:fldCharType="end"/>
      </w:r>
    </w:p>
    <w:p w14:paraId="6D96177A">
      <w:pPr>
        <w:pStyle w:val="16"/>
        <w:tabs>
          <w:tab w:val="right" w:leader="dot" w:pos="9354"/>
        </w:tabs>
      </w:pPr>
      <w:r>
        <w:rPr>
          <w:rFonts w:ascii="Times New Roman" w:hAnsi="Times New Roman"/>
        </w:rPr>
        <w:fldChar w:fldCharType="begin"/>
      </w:r>
      <w:r>
        <w:rPr>
          <w:rFonts w:ascii="Times New Roman" w:hAnsi="Times New Roman"/>
        </w:rPr>
        <w:instrText xml:space="preserve"> HYPERLINK \l _Toc10276 </w:instrText>
      </w:r>
      <w:r>
        <w:rPr>
          <w:rFonts w:ascii="Times New Roman" w:hAnsi="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rPr>
        <w:t>可扩展性要求</w:t>
      </w:r>
      <w:r>
        <w:tab/>
      </w:r>
      <w:r>
        <w:fldChar w:fldCharType="begin"/>
      </w:r>
      <w:r>
        <w:instrText xml:space="preserve"> PAGEREF _Toc10276 \h </w:instrText>
      </w:r>
      <w:r>
        <w:fldChar w:fldCharType="separate"/>
      </w:r>
      <w:r>
        <w:t>7</w:t>
      </w:r>
      <w:r>
        <w:fldChar w:fldCharType="end"/>
      </w:r>
      <w:r>
        <w:rPr>
          <w:rFonts w:ascii="Times New Roman" w:hAnsi="Times New Roman"/>
        </w:rPr>
        <w:fldChar w:fldCharType="end"/>
      </w:r>
    </w:p>
    <w:p w14:paraId="0F21A69E">
      <w:pPr>
        <w:pStyle w:val="57"/>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rPr>
          <w:rFonts w:ascii="Times New Roman" w:hAnsi="Times New Roman"/>
        </w:rPr>
        <w:fldChar w:fldCharType="end"/>
      </w:r>
    </w:p>
    <w:bookmarkEnd w:id="1"/>
    <w:p w14:paraId="1901A476">
      <w:pPr>
        <w:pStyle w:val="56"/>
        <w:spacing w:before="900" w:after="360"/>
      </w:pPr>
      <w:bookmarkStart w:id="2" w:name="_Toc22326"/>
      <w:bookmarkStart w:id="3" w:name="BookMark2"/>
      <w:r>
        <w:rPr>
          <w:rFonts w:hint="eastAsia"/>
          <w:spacing w:val="320"/>
        </w:rPr>
        <w:t>前</w:t>
      </w:r>
      <w:r>
        <w:rPr>
          <w:rFonts w:hint="eastAsia"/>
        </w:rPr>
        <w:t>言</w:t>
      </w:r>
      <w:bookmarkEnd w:id="2"/>
    </w:p>
    <w:p w14:paraId="6F0F0B05">
      <w:pPr>
        <w:pStyle w:val="53"/>
        <w:ind w:firstLine="420"/>
      </w:pPr>
      <w:r>
        <w:rPr>
          <w:rFonts w:hint="eastAsia"/>
        </w:rPr>
        <w:t>本文件按照GB/T 1.1—2020《标准化工作导则  第1部分：标准化文件的结构和起草规则》的规定起草。</w:t>
      </w:r>
    </w:p>
    <w:p w14:paraId="2F26BBF3">
      <w:pPr>
        <w:pStyle w:val="53"/>
        <w:ind w:firstLine="420"/>
      </w:pPr>
      <w:bookmarkStart w:id="4" w:name="_Hlk218610306"/>
      <w:r>
        <w:t>T/BIAIM</w:t>
      </w:r>
      <w:r>
        <w:rPr>
          <w:rFonts w:hint="eastAsia"/>
        </w:rPr>
        <w:t xml:space="preserve"> XXXXX 《产业链协同管控平台》系列标准计划发布以下部分：</w:t>
      </w:r>
    </w:p>
    <w:p w14:paraId="7C0519F0">
      <w:pPr>
        <w:pStyle w:val="53"/>
        <w:ind w:firstLine="420"/>
      </w:pPr>
      <w:r>
        <w:rPr>
          <w:rFonts w:hint="eastAsia"/>
        </w:rPr>
        <w:t>第1部分: 参考架构；</w:t>
      </w:r>
    </w:p>
    <w:p w14:paraId="6AC10306">
      <w:pPr>
        <w:pStyle w:val="53"/>
        <w:ind w:firstLine="420"/>
      </w:pPr>
      <w:r>
        <w:rPr>
          <w:rFonts w:hint="eastAsia"/>
        </w:rPr>
        <w:t>第2部分: 集成接口；</w:t>
      </w:r>
    </w:p>
    <w:p w14:paraId="099DDA52">
      <w:pPr>
        <w:pStyle w:val="53"/>
        <w:ind w:firstLine="420"/>
      </w:pPr>
      <w:r>
        <w:rPr>
          <w:rFonts w:hint="eastAsia"/>
        </w:rPr>
        <w:t>本文件为</w:t>
      </w:r>
      <w:r>
        <w:t>T/BIAIM</w:t>
      </w:r>
      <w:r>
        <w:rPr>
          <w:rFonts w:hint="eastAsia"/>
        </w:rPr>
        <w:t xml:space="preserve"> XXXXX《产业链协同管控平台》系列标准的第1部分。</w:t>
      </w:r>
    </w:p>
    <w:bookmarkEnd w:id="4"/>
    <w:p w14:paraId="07CD26CD">
      <w:pPr>
        <w:pStyle w:val="53"/>
        <w:ind w:firstLine="420"/>
      </w:pPr>
      <w:r>
        <w:t>请注意本文件的某些内容可能涉及专利。本文件的发布机构不承担识别专利的责任。</w:t>
      </w:r>
    </w:p>
    <w:p w14:paraId="645643FD">
      <w:pPr>
        <w:pStyle w:val="53"/>
        <w:ind w:firstLine="420"/>
      </w:pPr>
      <w:r>
        <w:t>本文件由北京智能制造创新联盟提出并归口。</w:t>
      </w:r>
    </w:p>
    <w:p w14:paraId="5C7B1F9E">
      <w:pPr>
        <w:pStyle w:val="53"/>
        <w:ind w:firstLine="420"/>
      </w:pPr>
      <w:r>
        <w:rPr>
          <w:rFonts w:hint="eastAsia"/>
        </w:rPr>
        <w:t>本文件起草单位：</w:t>
      </w:r>
      <w:r>
        <w:t>北京机械工业自动化研究所有限公司</w:t>
      </w:r>
      <w:r>
        <w:rPr>
          <w:rFonts w:hint="eastAsia"/>
        </w:rPr>
        <w:t>、海尔智家股份有限公司、同济大学、合肥通用机械研究院有限公司、中国海洋大学等。</w:t>
      </w:r>
    </w:p>
    <w:p w14:paraId="7A78E103">
      <w:pPr>
        <w:pStyle w:val="53"/>
        <w:ind w:firstLine="420"/>
      </w:pPr>
      <w:r>
        <w:rPr>
          <w:rFonts w:hint="eastAsia"/>
        </w:rPr>
        <w:t>本文件主要起草人：</w:t>
      </w:r>
      <w:bookmarkStart w:id="53" w:name="_GoBack"/>
      <w:bookmarkEnd w:id="53"/>
    </w:p>
    <w:p w14:paraId="0A5D3085">
      <w:pPr>
        <w:pStyle w:val="53"/>
        <w:ind w:firstLine="420"/>
      </w:pPr>
    </w:p>
    <w:p w14:paraId="341B1EAE">
      <w:pPr>
        <w:pStyle w:val="53"/>
        <w:ind w:firstLine="420"/>
        <w:sectPr>
          <w:pgSz w:w="11906" w:h="16838"/>
          <w:pgMar w:top="1928" w:right="1134" w:bottom="1134" w:left="1134" w:header="1418" w:footer="1134" w:gutter="284"/>
          <w:pgNumType w:fmt="upperRoman"/>
          <w:cols w:space="425" w:num="1"/>
          <w:formProt w:val="0"/>
          <w:docGrid w:linePitch="312" w:charSpace="0"/>
        </w:sectPr>
      </w:pPr>
    </w:p>
    <w:bookmarkEnd w:id="3"/>
    <w:p w14:paraId="0F74D42D">
      <w:pPr>
        <w:pStyle w:val="56"/>
        <w:spacing w:after="360"/>
      </w:pPr>
      <w:bookmarkStart w:id="5" w:name="_Toc26334"/>
      <w:bookmarkStart w:id="6" w:name="BookMark3"/>
      <w:r>
        <w:rPr>
          <w:rFonts w:hint="eastAsia"/>
          <w:spacing w:val="320"/>
        </w:rPr>
        <w:t>引</w:t>
      </w:r>
      <w:r>
        <w:rPr>
          <w:rFonts w:hint="eastAsia"/>
        </w:rPr>
        <w:t>言</w:t>
      </w:r>
      <w:bookmarkEnd w:id="5"/>
    </w:p>
    <w:p w14:paraId="0FFC8975">
      <w:pPr>
        <w:pStyle w:val="53"/>
        <w:ind w:firstLine="420"/>
      </w:pPr>
      <w:bookmarkStart w:id="7" w:name="_Hlk218610270"/>
      <w:bookmarkStart w:id="8" w:name="_Hlk218610255"/>
      <w:r>
        <w:rPr>
          <w:rFonts w:hint="eastAsia"/>
        </w:rPr>
        <w:t>为了实现链主企业对产业链协同的高效管控，推动产业链各参与主体的协同运行与资源优化配置，制定产业链协同管控平台系列标准。</w:t>
      </w:r>
    </w:p>
    <w:p w14:paraId="66320F70">
      <w:pPr>
        <w:pStyle w:val="53"/>
        <w:ind w:firstLine="420"/>
      </w:pPr>
      <w:r>
        <w:t>T/BIAIM</w:t>
      </w:r>
      <w:r>
        <w:rPr>
          <w:rFonts w:hint="eastAsia"/>
        </w:rPr>
        <w:t xml:space="preserve"> XXXXX 系列标准制定的总体目标包括：</w:t>
      </w:r>
    </w:p>
    <w:p w14:paraId="298735E6">
      <w:pPr>
        <w:pStyle w:val="66"/>
      </w:pPr>
      <w:r>
        <w:rPr>
          <w:rFonts w:hint="eastAsia"/>
        </w:rPr>
        <w:t>实现以链主企业为核心的产业链协同管控平台的统一架构规范，解决协同效率低、平台间互操作性不足的问题，进一步提升产业链整体运行效率与价值实现能力。</w:t>
      </w:r>
    </w:p>
    <w:p w14:paraId="432B75D9">
      <w:pPr>
        <w:pStyle w:val="66"/>
      </w:pPr>
      <w:r>
        <w:rPr>
          <w:rFonts w:hint="eastAsia"/>
        </w:rPr>
        <w:t>实现数据共享与资源协同的标准化管理，提升链主企业对产业链运行状态的可视化与决策能力，降低信息孤岛和重复建设成本。</w:t>
      </w:r>
    </w:p>
    <w:p w14:paraId="7554CFA2">
      <w:pPr>
        <w:pStyle w:val="66"/>
      </w:pPr>
      <w:r>
        <w:rPr>
          <w:rFonts w:hint="eastAsia"/>
        </w:rPr>
        <w:t>实现协同管控能力的可复用与可扩展，支持产业链协同平台的持续演进和多场景应用。</w:t>
      </w:r>
    </w:p>
    <w:p w14:paraId="51AE76D5">
      <w:pPr>
        <w:pStyle w:val="53"/>
        <w:ind w:firstLine="420"/>
      </w:pPr>
      <w:r>
        <w:rPr>
          <w:rFonts w:hint="eastAsia"/>
        </w:rPr>
        <w:t>产业链协同管控平台系列标准由两部分构成：</w:t>
      </w:r>
    </w:p>
    <w:p w14:paraId="2D11A252">
      <w:pPr>
        <w:pStyle w:val="53"/>
        <w:ind w:firstLine="420"/>
      </w:pPr>
      <w:r>
        <w:rPr>
          <w:rFonts w:hint="eastAsia"/>
        </w:rPr>
        <w:t>——第1部分：参考架构。主要描述产业链协同管控平台的总体架构、核心能力及其相互关系，用于规范平台设计、建设与运行管理。</w:t>
      </w:r>
    </w:p>
    <w:p w14:paraId="188CEE92">
      <w:pPr>
        <w:pStyle w:val="53"/>
        <w:ind w:firstLine="420"/>
      </w:pPr>
      <w:r>
        <w:rPr>
          <w:rFonts w:hint="eastAsia"/>
        </w:rPr>
        <w:t>——第2部分：集成接口。</w:t>
      </w:r>
      <w:bookmarkEnd w:id="7"/>
      <w:r>
        <w:rPr>
          <w:rFonts w:hint="eastAsia"/>
        </w:rPr>
        <w:t>主要描述平台间的数据交换、服务接口和集成要求，用于指导平台互联互通与系统集成实施。</w:t>
      </w:r>
    </w:p>
    <w:bookmarkEnd w:id="8"/>
    <w:p w14:paraId="71A91527">
      <w:pPr>
        <w:pStyle w:val="53"/>
        <w:ind w:firstLine="420"/>
      </w:pPr>
    </w:p>
    <w:p w14:paraId="7E9D6942">
      <w:pPr>
        <w:pStyle w:val="53"/>
        <w:ind w:firstLine="420"/>
        <w:sectPr>
          <w:pgSz w:w="11906" w:h="16838"/>
          <w:pgMar w:top="1928" w:right="1134" w:bottom="1134" w:left="1134" w:header="1418" w:footer="1134" w:gutter="284"/>
          <w:pgNumType w:fmt="upperRoman"/>
          <w:cols w:space="425" w:num="1"/>
          <w:formProt w:val="0"/>
          <w:docGrid w:linePitch="312" w:charSpace="0"/>
        </w:sectPr>
      </w:pPr>
    </w:p>
    <w:bookmarkEnd w:id="6"/>
    <w:p w14:paraId="77DBFEFC">
      <w:pPr>
        <w:spacing w:line="20" w:lineRule="exact"/>
        <w:jc w:val="center"/>
        <w:rPr>
          <w:rFonts w:hint="eastAsia" w:ascii="黑体" w:hAnsi="黑体" w:eastAsia="黑体"/>
          <w:sz w:val="32"/>
          <w:szCs w:val="32"/>
        </w:rPr>
      </w:pPr>
      <w:bookmarkStart w:id="9" w:name="BookMark4"/>
    </w:p>
    <w:p w14:paraId="4DD20D0C">
      <w:pPr>
        <w:spacing w:line="20" w:lineRule="exact"/>
        <w:jc w:val="center"/>
        <w:rPr>
          <w:rFonts w:hint="eastAsia" w:ascii="黑体" w:hAnsi="黑体" w:eastAsia="黑体"/>
          <w:sz w:val="32"/>
          <w:szCs w:val="32"/>
        </w:rPr>
      </w:pPr>
    </w:p>
    <w:sdt>
      <w:sdtPr>
        <w:tag w:val="NEW_STAND_NAME"/>
        <w:id w:val="147460744"/>
        <w:lock w:val="sdtLocked"/>
        <w:placeholder>
          <w:docPart w:val="{d2d70f75-298f-4eb6-82f8-69c95d9832e4}"/>
        </w:placeholder>
      </w:sdtPr>
      <w:sdtContent>
        <w:p w14:paraId="0E4B56CF">
          <w:pPr>
            <w:pStyle w:val="70"/>
            <w:spacing w:before="2" w:beforeLines="1" w:after="528" w:afterLines="220"/>
            <w:rPr>
              <w:rFonts w:hint="eastAsia"/>
            </w:rPr>
          </w:pPr>
          <w:bookmarkStart w:id="10" w:name="NEW_STAND_NAME"/>
          <w:r>
            <w:rPr>
              <w:rFonts w:hint="eastAsia"/>
            </w:rPr>
            <w:t>产业链协同管控平台 第1部分：参考架构</w:t>
          </w:r>
        </w:p>
      </w:sdtContent>
    </w:sdt>
    <w:bookmarkEnd w:id="10"/>
    <w:p w14:paraId="7B4E07AE">
      <w:pPr>
        <w:pStyle w:val="61"/>
        <w:spacing w:before="240" w:after="240"/>
      </w:pPr>
      <w:bookmarkStart w:id="11" w:name="_Toc12017"/>
      <w:bookmarkStart w:id="12" w:name="_Toc97192964"/>
      <w:bookmarkStart w:id="13" w:name="_Toc26718930"/>
      <w:bookmarkStart w:id="14" w:name="_Toc26986530"/>
      <w:bookmarkStart w:id="15" w:name="_Toc17233325"/>
      <w:bookmarkStart w:id="16" w:name="_Toc26986771"/>
      <w:bookmarkStart w:id="17" w:name="_Toc24884211"/>
      <w:bookmarkStart w:id="18" w:name="_Toc17233333"/>
      <w:bookmarkStart w:id="19" w:name="_Toc26648465"/>
      <w:bookmarkStart w:id="20" w:name="_Toc24884218"/>
      <w:r>
        <w:rPr>
          <w:rFonts w:hint="eastAsia"/>
        </w:rPr>
        <w:t>范围</w:t>
      </w:r>
      <w:bookmarkEnd w:id="11"/>
      <w:bookmarkEnd w:id="12"/>
      <w:bookmarkEnd w:id="13"/>
      <w:bookmarkEnd w:id="14"/>
      <w:bookmarkEnd w:id="15"/>
      <w:bookmarkEnd w:id="16"/>
      <w:bookmarkEnd w:id="17"/>
      <w:bookmarkEnd w:id="18"/>
      <w:bookmarkEnd w:id="19"/>
      <w:bookmarkEnd w:id="20"/>
    </w:p>
    <w:p w14:paraId="7B899F29">
      <w:pPr>
        <w:pStyle w:val="53"/>
        <w:ind w:firstLine="420"/>
      </w:pPr>
      <w:bookmarkStart w:id="21" w:name="_Toc17233326"/>
      <w:bookmarkStart w:id="22" w:name="_Toc24884219"/>
      <w:bookmarkStart w:id="23" w:name="_Toc24884212"/>
      <w:bookmarkStart w:id="24" w:name="_Toc17233334"/>
      <w:bookmarkStart w:id="25" w:name="_Toc26648466"/>
      <w:r>
        <w:rPr>
          <w:rFonts w:hint="eastAsia"/>
        </w:rPr>
        <w:t>本文件规定了产业链协同管控平台的参考架构，明确平台的总体架构组成、核心能力要素及其相互关系，为产业链协同管控活动提供统一的架构描述框架和设计依据。</w:t>
      </w:r>
    </w:p>
    <w:p w14:paraId="69ABD8F6">
      <w:pPr>
        <w:pStyle w:val="53"/>
        <w:ind w:firstLine="420"/>
      </w:pPr>
      <w:r>
        <w:rPr>
          <w:rFonts w:hint="eastAsia"/>
        </w:rPr>
        <w:t>本文件适用于产业链协同管控平台的架构设计、系统建设、运行管理及相关应用，可为产业链各参与主体在协同组织、资源配置、运行管控和服务支撑等方面的系统建设与协同应用提供参考。</w:t>
      </w:r>
    </w:p>
    <w:p w14:paraId="00AF32F5">
      <w:pPr>
        <w:pStyle w:val="61"/>
        <w:spacing w:before="240" w:after="240"/>
      </w:pPr>
      <w:bookmarkStart w:id="26" w:name="_Toc26986531"/>
      <w:bookmarkStart w:id="27" w:name="_Toc26718931"/>
      <w:bookmarkStart w:id="28" w:name="_Toc26986772"/>
      <w:bookmarkStart w:id="29" w:name="_Toc13254"/>
      <w:bookmarkStart w:id="30" w:name="_Toc97192965"/>
      <w:r>
        <w:rPr>
          <w:rFonts w:hint="eastAsia"/>
        </w:rPr>
        <w:t>规范性引用文件</w:t>
      </w:r>
      <w:bookmarkEnd w:id="21"/>
      <w:bookmarkEnd w:id="22"/>
      <w:bookmarkEnd w:id="23"/>
      <w:bookmarkEnd w:id="24"/>
      <w:bookmarkEnd w:id="25"/>
      <w:bookmarkEnd w:id="26"/>
      <w:bookmarkEnd w:id="27"/>
      <w:bookmarkEnd w:id="28"/>
      <w:bookmarkEnd w:id="29"/>
      <w:bookmarkEnd w:id="30"/>
    </w:p>
    <w:sdt>
      <w:sdtPr>
        <w:rPr>
          <w:rFonts w:hint="eastAsia"/>
        </w:rPr>
        <w:id w:val="147454101"/>
        <w:placeholder>
          <w:docPart w:val="{65f8f206-e270-4a6d-8a25-917a2a355d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C428F75">
          <w:pPr>
            <w:pStyle w:val="5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866D07">
      <w:pPr>
        <w:pStyle w:val="53"/>
        <w:ind w:firstLine="420"/>
      </w:pPr>
      <w:r>
        <w:rPr>
          <w:rFonts w:hint="eastAsia"/>
        </w:rPr>
        <w:t>GB/T 25469-2010  制造业产业链协作平台功能规范</w:t>
      </w:r>
    </w:p>
    <w:p w14:paraId="4011453D">
      <w:pPr>
        <w:pStyle w:val="61"/>
        <w:spacing w:before="240" w:after="240"/>
      </w:pPr>
      <w:bookmarkStart w:id="31" w:name="_Toc1927"/>
      <w:bookmarkStart w:id="32" w:name="_Toc97192966"/>
      <w:r>
        <w:rPr>
          <w:rFonts w:hint="eastAsia"/>
          <w:szCs w:val="21"/>
        </w:rPr>
        <w:t>术语和定义</w:t>
      </w:r>
      <w:bookmarkEnd w:id="31"/>
      <w:bookmarkEnd w:id="32"/>
    </w:p>
    <w:sdt>
      <w:sdtPr>
        <w:id w:val="147465667"/>
        <w:placeholder>
          <w:docPart w:val="{51e8b957-1a52-4bcb-80ca-c4a3cd6d8f0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19A08A1">
          <w:pPr>
            <w:pStyle w:val="53"/>
            <w:ind w:firstLine="420"/>
          </w:pPr>
          <w:bookmarkStart w:id="33" w:name="_Toc26986532"/>
          <w:bookmarkEnd w:id="33"/>
          <w:r>
            <w:t>下列术语和定义适用于本文件。</w:t>
          </w:r>
        </w:p>
      </w:sdtContent>
    </w:sdt>
    <w:p w14:paraId="3D49FB21">
      <w:pPr>
        <w:pStyle w:val="78"/>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产业链 industrial chain</w:t>
      </w:r>
    </w:p>
    <w:p w14:paraId="5A33F787">
      <w:pPr>
        <w:pStyle w:val="53"/>
        <w:ind w:firstLine="420"/>
      </w:pPr>
      <w:r>
        <w:rPr>
          <w:rFonts w:hint="eastAsia"/>
        </w:rPr>
        <w:t>一种或几种资源通过若干产业层次不断向下游产业转移直至到达消费者的路径。</w:t>
      </w:r>
    </w:p>
    <w:p w14:paraId="16ABEE61">
      <w:pPr>
        <w:pStyle w:val="53"/>
        <w:ind w:firstLine="420"/>
      </w:pPr>
      <w:r>
        <w:rPr>
          <w:rFonts w:hint="eastAsia"/>
        </w:rPr>
        <w:t>[来源：GB/T 25469-2010,2.1]</w:t>
      </w:r>
    </w:p>
    <w:p w14:paraId="5CE4CE23">
      <w:pPr>
        <w:pStyle w:val="78"/>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链主企业 c</w:t>
      </w:r>
      <w:r>
        <w:rPr>
          <w:rFonts w:ascii="黑体" w:hAnsi="黑体" w:eastAsia="黑体"/>
        </w:rPr>
        <w:t xml:space="preserve">hain </w:t>
      </w:r>
      <w:r>
        <w:rPr>
          <w:rFonts w:hint="eastAsia" w:ascii="黑体" w:hAnsi="黑体" w:eastAsia="黑体"/>
        </w:rPr>
        <w:t>m</w:t>
      </w:r>
      <w:r>
        <w:rPr>
          <w:rFonts w:ascii="黑体" w:hAnsi="黑体" w:eastAsia="黑体"/>
        </w:rPr>
        <w:t xml:space="preserve">aster </w:t>
      </w:r>
      <w:r>
        <w:rPr>
          <w:rFonts w:hint="eastAsia" w:ascii="黑体" w:hAnsi="黑体" w:eastAsia="黑体"/>
        </w:rPr>
        <w:t>e</w:t>
      </w:r>
      <w:r>
        <w:rPr>
          <w:rFonts w:ascii="黑体" w:hAnsi="黑体" w:eastAsia="黑体"/>
        </w:rPr>
        <w:t>nterprises</w:t>
      </w:r>
    </w:p>
    <w:p w14:paraId="50C4F8D1">
      <w:pPr>
        <w:pStyle w:val="53"/>
        <w:ind w:firstLine="420"/>
      </w:pPr>
      <w:r>
        <w:rPr>
          <w:rFonts w:hint="eastAsia"/>
        </w:rPr>
        <w:t>在整个产业链中占据优势地位，对产业链大部分企业的资源配置和应用具有较强的直接或间接影响力，并且对产业链的价值实现予以最强烈关注，肩负着提升产业链绩效重任的核心企业。</w:t>
      </w:r>
    </w:p>
    <w:p w14:paraId="2F8A5D8B">
      <w:pPr>
        <w:pStyle w:val="78"/>
        <w:ind w:left="420" w:hanging="420" w:hangingChars="200"/>
        <w:rPr>
          <w:rFonts w:hint="eastAsia" w:ascii="黑体" w:hAnsi="黑体" w:eastAsia="黑体"/>
        </w:rPr>
      </w:pPr>
      <w:r>
        <w:rPr>
          <w:rFonts w:ascii="黑体" w:hAnsi="黑体" w:eastAsia="黑体"/>
        </w:rPr>
        <w:br w:type="textWrapping"/>
      </w:r>
      <w:r>
        <w:rPr>
          <w:rFonts w:ascii="黑体" w:hAnsi="黑体" w:eastAsia="黑体"/>
        </w:rPr>
        <w:t>产业链协同管控平台</w:t>
      </w:r>
      <w:r>
        <w:rPr>
          <w:rFonts w:hint="eastAsia" w:ascii="黑体" w:hAnsi="黑体" w:eastAsia="黑体"/>
        </w:rPr>
        <w:t xml:space="preserve"> </w:t>
      </w:r>
      <w:r>
        <w:rPr>
          <w:rFonts w:ascii="黑体" w:hAnsi="黑体" w:eastAsia="黑体"/>
        </w:rPr>
        <w:t>industrial chain collaborative control platform</w:t>
      </w:r>
    </w:p>
    <w:p w14:paraId="6A335B62">
      <w:pPr>
        <w:pStyle w:val="53"/>
        <w:ind w:firstLine="420"/>
      </w:pPr>
      <w:r>
        <w:t>面向产业链多主体协同运行与统一管控需求，支撑跨企业、跨系统、跨层级的信息共享、业务协同、资源配置和风险管控的综合性平台。</w:t>
      </w:r>
    </w:p>
    <w:p w14:paraId="63DFAE09">
      <w:pPr>
        <w:pStyle w:val="78"/>
        <w:ind w:left="420" w:hanging="420" w:hangingChars="200"/>
        <w:rPr>
          <w:rFonts w:hint="eastAsia" w:ascii="黑体" w:hAnsi="黑体" w:eastAsia="黑体"/>
        </w:rPr>
      </w:pPr>
      <w:r>
        <w:rPr>
          <w:rFonts w:ascii="黑体" w:hAnsi="黑体" w:eastAsia="黑体"/>
        </w:rPr>
        <w:br w:type="textWrapping"/>
      </w:r>
      <w:r>
        <w:rPr>
          <w:rFonts w:ascii="黑体" w:hAnsi="黑体" w:eastAsia="黑体"/>
        </w:rPr>
        <w:t>标识解析 identification resolution</w:t>
      </w:r>
    </w:p>
    <w:p w14:paraId="26C4E8EE">
      <w:pPr>
        <w:pStyle w:val="53"/>
        <w:ind w:firstLine="420"/>
      </w:pPr>
      <w:r>
        <w:rPr>
          <w:rFonts w:hint="eastAsia"/>
        </w:rPr>
        <w:t>通过标识符获得对应实体相关信息的过程</w:t>
      </w:r>
      <w:r>
        <w:t>。</w:t>
      </w:r>
    </w:p>
    <w:p w14:paraId="2EA71256">
      <w:pPr>
        <w:pStyle w:val="53"/>
        <w:ind w:firstLine="420"/>
      </w:pPr>
      <w:r>
        <w:t>[来源:GB/T33745一</w:t>
      </w:r>
      <w:r>
        <w:rPr>
          <w:rFonts w:hint="eastAsia"/>
        </w:rPr>
        <w:t>2025</w:t>
      </w:r>
      <w:r>
        <w:t>,</w:t>
      </w:r>
      <w:r>
        <w:rPr>
          <w:rFonts w:hint="eastAsia"/>
        </w:rPr>
        <w:t>3</w:t>
      </w:r>
      <w:r>
        <w:t>.4.</w:t>
      </w:r>
      <w:r>
        <w:rPr>
          <w:rFonts w:hint="eastAsia"/>
        </w:rPr>
        <w:t>4</w:t>
      </w:r>
      <w:r>
        <w:t>]</w:t>
      </w:r>
    </w:p>
    <w:p w14:paraId="6D8466EA">
      <w:pPr>
        <w:pStyle w:val="61"/>
        <w:spacing w:before="240" w:after="240"/>
      </w:pPr>
      <w:bookmarkStart w:id="34" w:name="_Toc14641"/>
      <w:r>
        <w:rPr>
          <w:rFonts w:hint="eastAsia"/>
        </w:rPr>
        <w:t>缩略语</w:t>
      </w:r>
      <w:bookmarkEnd w:id="34"/>
    </w:p>
    <w:p w14:paraId="143F390C">
      <w:pPr>
        <w:pStyle w:val="53"/>
        <w:ind w:firstLine="420"/>
      </w:pPr>
      <w:r>
        <w:t>下列缩略语适用于本文件。</w:t>
      </w:r>
    </w:p>
    <w:p w14:paraId="08BDEB57">
      <w:pPr>
        <w:pStyle w:val="53"/>
        <w:ind w:firstLine="420"/>
        <w:rPr>
          <w:rFonts w:hint="eastAsia"/>
        </w:rPr>
      </w:pPr>
      <w:r>
        <w:rPr>
          <w:rFonts w:hint="eastAsia"/>
        </w:rPr>
        <w:t>API：应用程序编程接口（Application Programming Interface）</w:t>
      </w:r>
    </w:p>
    <w:p w14:paraId="78FA139C">
      <w:pPr>
        <w:pStyle w:val="53"/>
        <w:ind w:firstLine="420"/>
        <w:rPr>
          <w:rFonts w:hint="eastAsia"/>
        </w:rPr>
      </w:pPr>
      <w:r>
        <w:rPr>
          <w:rFonts w:hint="eastAsia"/>
        </w:rPr>
        <w:t>ERP：企业资源计划（Enterprise Resource Planning）</w:t>
      </w:r>
    </w:p>
    <w:p w14:paraId="2CCF51EB">
      <w:pPr>
        <w:pStyle w:val="53"/>
        <w:ind w:firstLine="420"/>
        <w:rPr>
          <w:rFonts w:hint="eastAsia"/>
        </w:rPr>
      </w:pPr>
      <w:r>
        <w:rPr>
          <w:rFonts w:hint="eastAsia"/>
        </w:rPr>
        <w:t>MES：制造执行系统（Manufacturing Execution System）</w:t>
      </w:r>
    </w:p>
    <w:p w14:paraId="28865CCB">
      <w:pPr>
        <w:pStyle w:val="53"/>
        <w:ind w:firstLine="420"/>
        <w:rPr>
          <w:rFonts w:hint="eastAsia"/>
        </w:rPr>
      </w:pPr>
      <w:r>
        <w:rPr>
          <w:rFonts w:hint="eastAsia"/>
        </w:rPr>
        <w:t>PLM：产品生命周期管理（Product Lifecycle Management）</w:t>
      </w:r>
    </w:p>
    <w:p w14:paraId="45A2A8F8">
      <w:pPr>
        <w:pStyle w:val="53"/>
        <w:ind w:firstLine="420"/>
        <w:rPr>
          <w:rFonts w:hint="eastAsia"/>
        </w:rPr>
      </w:pPr>
      <w:r>
        <w:rPr>
          <w:rFonts w:hint="eastAsia"/>
        </w:rPr>
        <w:t>SCM：供应链管理（Supply Chain Management）</w:t>
      </w:r>
    </w:p>
    <w:p w14:paraId="0C39080A">
      <w:pPr>
        <w:pStyle w:val="53"/>
        <w:ind w:firstLine="420"/>
        <w:rPr>
          <w:rFonts w:hint="eastAsia"/>
        </w:rPr>
      </w:pPr>
      <w:r>
        <w:rPr>
          <w:rFonts w:hint="eastAsia"/>
        </w:rPr>
        <w:t>HTTP：超文本传输协议（Hypertext Transfer Protocol）</w:t>
      </w:r>
    </w:p>
    <w:p w14:paraId="02F6283A">
      <w:pPr>
        <w:pStyle w:val="53"/>
        <w:ind w:firstLine="420"/>
        <w:rPr>
          <w:rFonts w:hint="eastAsia"/>
        </w:rPr>
      </w:pPr>
      <w:r>
        <w:rPr>
          <w:rFonts w:hint="eastAsia"/>
        </w:rPr>
        <w:t>JSON：脚本对象标注法（JavaScript Object Notation）</w:t>
      </w:r>
    </w:p>
    <w:p w14:paraId="3871DC36">
      <w:pPr>
        <w:pStyle w:val="53"/>
        <w:ind w:firstLine="420"/>
        <w:rPr>
          <w:rFonts w:hint="eastAsia"/>
        </w:rPr>
      </w:pPr>
      <w:r>
        <w:rPr>
          <w:rFonts w:hint="eastAsia"/>
        </w:rPr>
        <w:t>WMS：仓库管理系统（Warehouse Management System）</w:t>
      </w:r>
    </w:p>
    <w:p w14:paraId="1D8AB79D">
      <w:pPr>
        <w:pStyle w:val="53"/>
        <w:ind w:firstLine="420"/>
        <w:rPr>
          <w:rFonts w:hint="eastAsia"/>
        </w:rPr>
      </w:pPr>
      <w:r>
        <w:rPr>
          <w:rFonts w:hint="eastAsia"/>
        </w:rPr>
        <w:t>XML：可扩展置标语言（eXtensible Markup Language）</w:t>
      </w:r>
    </w:p>
    <w:p w14:paraId="4F45C027">
      <w:pPr>
        <w:pStyle w:val="61"/>
        <w:spacing w:before="240" w:after="240"/>
      </w:pPr>
      <w:bookmarkStart w:id="35" w:name="_Toc25183"/>
      <w:r>
        <w:rPr>
          <w:rFonts w:hint="eastAsia"/>
        </w:rPr>
        <w:t>平台总体设计原则</w:t>
      </w:r>
      <w:bookmarkEnd w:id="35"/>
    </w:p>
    <w:p w14:paraId="41E9742E">
      <w:pPr>
        <w:pStyle w:val="53"/>
        <w:ind w:firstLine="420"/>
      </w:pPr>
      <w:r>
        <w:rPr>
          <w:rFonts w:hint="eastAsia"/>
        </w:rPr>
        <w:t>产业链协同管控平台的参考架构设计应遵循以下原则：</w:t>
      </w:r>
    </w:p>
    <w:p w14:paraId="341AE4A6">
      <w:pPr>
        <w:pStyle w:val="69"/>
      </w:pPr>
      <w:r>
        <w:rPr>
          <w:rFonts w:hint="eastAsia"/>
        </w:rPr>
        <w:t>产业链协同性原则。平台应面向产业链整体运行与协同优化需求，支持链主企业与上下游多主体的协同组织、协同决策和协同管控，避免单一企业视角下的“烟囱式”建设；</w:t>
      </w:r>
    </w:p>
    <w:p w14:paraId="06C28947">
      <w:pPr>
        <w:pStyle w:val="69"/>
      </w:pPr>
      <w:r>
        <w:rPr>
          <w:rFonts w:hint="eastAsia"/>
        </w:rPr>
        <w:t>分层解耦与能力复用原则。平台架构应采用分层、模块化设计方式，实现业务逻辑、数据资源、技术支撑与基础设施的解耦，支持能力组件的复用与灵活组合，提升系统可扩展性与演进能力；</w:t>
      </w:r>
    </w:p>
    <w:p w14:paraId="70191B84">
      <w:pPr>
        <w:pStyle w:val="69"/>
      </w:pPr>
      <w:r>
        <w:rPr>
          <w:rFonts w:hint="eastAsia"/>
        </w:rPr>
        <w:t>统一架构、分级实施原则。平台应提供统一的参考架构与能力框架，支持根据不同产业链规模、成熟度和应用场景进行分级建设与逐步实施；</w:t>
      </w:r>
    </w:p>
    <w:p w14:paraId="0E419609">
      <w:pPr>
        <w:pStyle w:val="69"/>
      </w:pPr>
      <w:r>
        <w:rPr>
          <w:rFonts w:hint="eastAsia"/>
        </w:rPr>
        <w:t>安全可信与可治理原则。平台应在身份管理、数据共享、业务协同等方面具备安全可信与可审计能力，支撑产业链协同过程的可管、可控、可追溯。</w:t>
      </w:r>
    </w:p>
    <w:p w14:paraId="05258D26">
      <w:pPr>
        <w:pStyle w:val="61"/>
        <w:spacing w:before="240" w:after="240"/>
      </w:pPr>
      <w:bookmarkStart w:id="36" w:name="_Toc7558"/>
      <w:r>
        <w:t>平台</w:t>
      </w:r>
      <w:r>
        <w:rPr>
          <w:rFonts w:hint="eastAsia"/>
        </w:rPr>
        <w:t>参考架构</w:t>
      </w:r>
      <w:bookmarkEnd w:id="36"/>
    </w:p>
    <w:p w14:paraId="200BBC58">
      <w:pPr>
        <w:pStyle w:val="53"/>
        <w:ind w:firstLine="420"/>
      </w:pPr>
      <w:r>
        <w:rPr>
          <w:rFonts w:hint="eastAsia"/>
        </w:rPr>
        <w:t>产业链协同管控平台参考架构由基础设施层、数据管理层、标识解析层、平台支撑层、功能构件层、业务应用层和协同对象层构成，各层之间通过标准化接口实现解耦协同，如图 1 所示。</w:t>
      </w:r>
    </w:p>
    <w:p w14:paraId="7D452FD1">
      <w:pPr>
        <w:pStyle w:val="53"/>
        <w:ind w:firstLine="420"/>
      </w:pPr>
      <w:r>
        <w:rPr>
          <w:rFonts w:hint="eastAsia"/>
        </w:rPr>
        <w:t>平台以产业链协同管控需求为牵引，以数据与模型能力为核心纽带，支撑跨企业、跨组织、跨系统的协同运行与管控。</w:t>
      </w:r>
    </w:p>
    <w:p w14:paraId="62485970">
      <w:pPr>
        <w:pStyle w:val="53"/>
        <w:ind w:firstLine="0" w:firstLineChars="0"/>
        <w:jc w:val="center"/>
      </w:pPr>
      <w:r>
        <w:drawing>
          <wp:inline distT="0" distB="0" distL="114300" distR="114300">
            <wp:extent cx="4993005" cy="5114925"/>
            <wp:effectExtent l="0" t="0" r="571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993005" cy="5114925"/>
                    </a:xfrm>
                    <a:prstGeom prst="rect">
                      <a:avLst/>
                    </a:prstGeom>
                    <a:noFill/>
                    <a:ln>
                      <a:noFill/>
                    </a:ln>
                  </pic:spPr>
                </pic:pic>
              </a:graphicData>
            </a:graphic>
          </wp:inline>
        </w:drawing>
      </w:r>
    </w:p>
    <w:p w14:paraId="0C9C08EA">
      <w:pPr>
        <w:pStyle w:val="64"/>
        <w:spacing w:before="120" w:after="120"/>
      </w:pPr>
      <w:r>
        <w:rPr>
          <w:rFonts w:hint="eastAsia"/>
        </w:rPr>
        <w:t>产业链协同管控平台参考架构</w:t>
      </w:r>
    </w:p>
    <w:p w14:paraId="3B0909C4">
      <w:pPr>
        <w:pStyle w:val="61"/>
        <w:spacing w:before="240" w:after="240"/>
      </w:pPr>
      <w:bookmarkStart w:id="37" w:name="_Toc13424"/>
      <w:r>
        <w:rPr>
          <w:rFonts w:hint="eastAsia"/>
        </w:rPr>
        <w:t>平台功能要求</w:t>
      </w:r>
      <w:bookmarkEnd w:id="37"/>
    </w:p>
    <w:p w14:paraId="74002366">
      <w:pPr>
        <w:pStyle w:val="62"/>
        <w:spacing w:before="120" w:after="120"/>
      </w:pPr>
      <w:bookmarkStart w:id="38" w:name="_Toc4420"/>
      <w:r>
        <w:rPr>
          <w:rFonts w:hint="eastAsia"/>
        </w:rPr>
        <w:t>总则</w:t>
      </w:r>
      <w:bookmarkEnd w:id="38"/>
    </w:p>
    <w:p w14:paraId="376CFDBC">
      <w:pPr>
        <w:pStyle w:val="53"/>
        <w:ind w:firstLine="420"/>
      </w:pPr>
      <w:r>
        <w:t>产业链协同管控平台功能架构应遵循分层解耦原则，各层级功能独立封装、接口标准化，支持跨层级能力调用与跨主体业务协同</w:t>
      </w:r>
      <w:r>
        <w:rPr>
          <w:rFonts w:hint="eastAsia"/>
        </w:rPr>
        <w:t>。</w:t>
      </w:r>
    </w:p>
    <w:p w14:paraId="590EA9B6">
      <w:pPr>
        <w:pStyle w:val="62"/>
        <w:spacing w:before="120" w:after="120"/>
      </w:pPr>
      <w:bookmarkStart w:id="39" w:name="_Toc26111"/>
      <w:r>
        <w:rPr>
          <w:rFonts w:hint="eastAsia"/>
        </w:rPr>
        <w:t>基础设施层功能要求</w:t>
      </w:r>
      <w:bookmarkEnd w:id="39"/>
    </w:p>
    <w:p w14:paraId="0904DEC5">
      <w:pPr>
        <w:pStyle w:val="53"/>
        <w:ind w:firstLine="420"/>
      </w:pPr>
      <w:r>
        <w:rPr>
          <w:rFonts w:hint="eastAsia"/>
        </w:rPr>
        <w:t>基础设施层应支持弹性扩展、高可用部署及多租户运行模式，为上层能力提供稳定运行基础，包括但不限于：</w:t>
      </w:r>
    </w:p>
    <w:p w14:paraId="1AE2EE08">
      <w:pPr>
        <w:pStyle w:val="69"/>
        <w:numPr>
          <w:ilvl w:val="0"/>
          <w:numId w:val="6"/>
        </w:numPr>
      </w:pPr>
      <w:r>
        <w:rPr>
          <w:rFonts w:hint="eastAsia"/>
        </w:rPr>
        <w:t>提供计算资源、存储资源、网络资源的弹性分配与动态调度能力。</w:t>
      </w:r>
    </w:p>
    <w:p w14:paraId="0ED260CE">
      <w:pPr>
        <w:pStyle w:val="69"/>
      </w:pPr>
      <w:r>
        <w:rPr>
          <w:rFonts w:hint="eastAsia"/>
        </w:rPr>
        <w:t>支持公有云、私有云、混合云及边缘节点的多模式部署环境。</w:t>
      </w:r>
    </w:p>
    <w:p w14:paraId="37D885A5">
      <w:pPr>
        <w:pStyle w:val="69"/>
      </w:pPr>
      <w:r>
        <w:rPr>
          <w:rFonts w:hint="eastAsia"/>
        </w:rPr>
        <w:t>具备基础安全防护能力，包括网络隔离、访问控制、漏洞扫描等。</w:t>
      </w:r>
    </w:p>
    <w:p w14:paraId="34F5E348">
      <w:pPr>
        <w:pStyle w:val="69"/>
      </w:pPr>
      <w:r>
        <w:rPr>
          <w:rFonts w:hint="eastAsia"/>
        </w:rPr>
        <w:t>支持多租户资源隔离，保障不同主体的数据与业务独立性。</w:t>
      </w:r>
    </w:p>
    <w:p w14:paraId="581D0843">
      <w:pPr>
        <w:pStyle w:val="62"/>
        <w:spacing w:before="120" w:after="120"/>
      </w:pPr>
      <w:bookmarkStart w:id="40" w:name="_Toc30300"/>
      <w:r>
        <w:rPr>
          <w:rFonts w:hint="eastAsia"/>
        </w:rPr>
        <w:t>数据管理层功能要求</w:t>
      </w:r>
      <w:bookmarkEnd w:id="40"/>
    </w:p>
    <w:p w14:paraId="481428C7">
      <w:pPr>
        <w:pStyle w:val="55"/>
        <w:spacing w:before="120" w:after="120"/>
      </w:pPr>
      <w:r>
        <w:rPr>
          <w:rFonts w:hint="eastAsia"/>
        </w:rPr>
        <w:t>概述</w:t>
      </w:r>
    </w:p>
    <w:p w14:paraId="33223DCB">
      <w:pPr>
        <w:pStyle w:val="53"/>
        <w:ind w:firstLine="420"/>
      </w:pPr>
      <w:r>
        <w:t>数据管理层为平台提供统一的数据底座，实现产业链全要素数据的采集、存储、治理、分析与共享，支撑上层业务应用的数据需求。该层打破产业链各参与主体之间的数据壁垒，通过标准化的数据处理流程与技术手段，实现数据资产的规范化管理与高效利用，为链主企业及上下游协同主体提供一致、可信、高质量的数据服务，是保障产业链协同管控平台稳定运行与价值发挥的核心支撑。</w:t>
      </w:r>
    </w:p>
    <w:p w14:paraId="701A996C">
      <w:pPr>
        <w:pStyle w:val="55"/>
        <w:spacing w:before="120" w:after="120"/>
      </w:pPr>
      <w:bookmarkStart w:id="41" w:name="OLE_LINK1"/>
      <w:r>
        <w:rPr>
          <w:rFonts w:hint="eastAsia"/>
        </w:rPr>
        <w:t>数据采集</w:t>
      </w:r>
    </w:p>
    <w:p w14:paraId="69637D8B">
      <w:pPr>
        <w:pStyle w:val="53"/>
        <w:ind w:firstLine="420"/>
      </w:pPr>
      <w:r>
        <w:t>支持多源异构数据接入，包括但不限于设备传感数据、业务系统数据、第三方平台数据。其中设备传感数据涵盖生产设备运行参数、环境监测数据、物料状态数据等；业务系统数据包含 ERP、MES、PLM、SCM 等系统的业务单据与流程数据；第三方平台数据涉及供应链金融数据、物流跟踪数据、行业政策数据等。同时支持定时采集、触发采集、流式采集等多种采集模式，定时采集可配置灵活的采集周期以满足非实时数据需求，触发采集可基于事件驱动机制实现关键数据的即时获取，流式采集则支持海量高频数据的持续接入与处理，确保数据采集的全面性、时效性与灵活性。</w:t>
      </w:r>
    </w:p>
    <w:p w14:paraId="477CA7F7">
      <w:pPr>
        <w:pStyle w:val="55"/>
        <w:spacing w:before="120" w:after="120"/>
      </w:pPr>
      <w:r>
        <w:rPr>
          <w:rFonts w:hint="eastAsia"/>
        </w:rPr>
        <w:t>数据存储</w:t>
      </w:r>
    </w:p>
    <w:p w14:paraId="0FF5B1A6">
      <w:pPr>
        <w:pStyle w:val="53"/>
        <w:ind w:firstLine="420"/>
      </w:pPr>
      <w:r>
        <w:t>支持关系型数据库、非关系型数据库、时序数据库、数据湖等多类型存储方式。关系型数据库用于存储结构化业务数据，保障数据的一致性与事务性；非关系型数据库用于存储半结构化与非结构化数据，满足海量数据的高效读写需求；时序数据库用于存储设备传感等时序性强的数据，支持快速的时序数据查询与分析；数据湖则用于汇聚产业链全量原始数据，为后续的数据挖掘与深度分析提供数据基础。同时支持冷热数据分层存储，根据数据的访问频率与重要性，将热数据存储于高性能存储介质以保障访问速度，将冷数据存储于低成本存储介质以降低存储成本，满足不同数据的存储性能与成本需求。</w:t>
      </w:r>
    </w:p>
    <w:p w14:paraId="14447F95">
      <w:pPr>
        <w:pStyle w:val="55"/>
        <w:spacing w:before="120" w:after="120"/>
      </w:pPr>
      <w:r>
        <w:rPr>
          <w:rFonts w:hint="eastAsia"/>
        </w:rPr>
        <w:t>数据治理</w:t>
      </w:r>
    </w:p>
    <w:p w14:paraId="27E93156">
      <w:pPr>
        <w:pStyle w:val="53"/>
        <w:ind w:firstLine="420"/>
      </w:pPr>
      <w:r>
        <w:t>提供数据清洗、数据转换、数据标准化、数据血缘分析、数据质量稽核能力。数据清洗可自动识别并处理数据中的缺失值、重复值、异常值，保障数据的准确性；数据转换支持多格式数据的统一转换与格式适配，实现异构数据的兼容互通；数据标准化基于产业链统一的数据标准体系，对数据的命名、格式、编码等进行规范化处理，确保数据在全产业链范围内的一致性；数据血缘分析可追溯数据从产生、流转到应用的全链路过程，明确数据的来源与去向，提升数据的可溯源性；数据质量稽核通过设定多维度的质量评估指标，定期对数据质量进行检测与评估，并生成质量报告，及时发现并整改数据质量问题。建立产业链统一数据标准与数据字典，明确数据的定义、属性、业务规则等关键信息，保障数据一致性。</w:t>
      </w:r>
    </w:p>
    <w:p w14:paraId="22DF2A3B">
      <w:pPr>
        <w:pStyle w:val="55"/>
        <w:spacing w:before="120" w:after="120"/>
      </w:pPr>
      <w:r>
        <w:rPr>
          <w:rFonts w:hint="eastAsia"/>
        </w:rPr>
        <w:t>数据分析</w:t>
      </w:r>
    </w:p>
    <w:p w14:paraId="55BEF55D">
      <w:pPr>
        <w:pStyle w:val="53"/>
        <w:ind w:firstLine="420"/>
      </w:pPr>
      <w:r>
        <w:t>支持描述性分析、诊断性分析、预测性分析与指导性分析。描述性分析用于对产业链历史数据进行汇总与可视化呈现，直观展示产业链的运行现状；诊断性分析通过数据挖掘技术分析产业链运行问题的根源，为问题定位与解决提供依据；预测性分析基于机器学习等算法构建预测模型，对产业链的产能、需求、风险等进行预测；指导性分析则结合预测结果与业务规则，为产业链协同决策提供具体的建议与方案。同时提供离线分析、实时分析能力，离线分析支持对海量历史数据的深度挖掘，实时分析则可对实时接入的数据进行即时处理与分析，支撑产业链运行状态监控与决策优化。</w:t>
      </w:r>
    </w:p>
    <w:p w14:paraId="6663EEA0">
      <w:pPr>
        <w:pStyle w:val="55"/>
        <w:spacing w:before="120" w:after="120"/>
      </w:pPr>
      <w:r>
        <w:rPr>
          <w:rFonts w:hint="eastAsia"/>
        </w:rPr>
        <w:t>数据查询</w:t>
      </w:r>
    </w:p>
    <w:bookmarkEnd w:id="41"/>
    <w:p w14:paraId="2E07F110">
      <w:pPr>
        <w:pStyle w:val="53"/>
        <w:ind w:firstLine="420"/>
      </w:pPr>
      <w:r>
        <w:t>提供多维度数据检索、关联查询能力，支持用户根据业务需求，从时间、主体、业务类型等多个维度对数据进行筛选与检索，并实现跨数据源、跨业务系统的数据关联查询，挖掘数据之间的潜在关联。同时支持结构化查询与全文检索，结构化查询满足对结构化数据的精准查询需求，全文检索则支持对非结构化数据的关键词检索与内容分析，满足不同场景的查询需求，提升数据的检索效率与利用价值</w:t>
      </w:r>
      <w:r>
        <w:rPr>
          <w:rFonts w:hint="eastAsia"/>
        </w:rPr>
        <w:t>。</w:t>
      </w:r>
    </w:p>
    <w:p w14:paraId="22C65E1F">
      <w:pPr>
        <w:pStyle w:val="62"/>
        <w:spacing w:before="120" w:after="120"/>
      </w:pPr>
      <w:bookmarkStart w:id="42" w:name="_Toc26893"/>
      <w:r>
        <w:rPr>
          <w:rFonts w:hint="eastAsia"/>
        </w:rPr>
        <w:t>标识解析层功能要求</w:t>
      </w:r>
      <w:bookmarkEnd w:id="42"/>
    </w:p>
    <w:p w14:paraId="6750111E">
      <w:pPr>
        <w:pStyle w:val="55"/>
        <w:spacing w:before="120" w:after="120"/>
      </w:pPr>
      <w:r>
        <w:rPr>
          <w:rFonts w:hint="eastAsia"/>
        </w:rPr>
        <w:t>概述</w:t>
      </w:r>
    </w:p>
    <w:p w14:paraId="2F15979D">
      <w:pPr>
        <w:pStyle w:val="53"/>
        <w:ind w:firstLine="420"/>
      </w:pPr>
      <w:r>
        <w:t>标识解析层为产业链对象提供唯一标识与信息追溯能力，实现产品、设备、物料等对象的全生命周期管理。该层通过为产业链中的各类实体对象赋予全球唯一的标识编码，构建覆盖产业链全流程的标识体系，结合标识解析系统实现标识与对象信息的关联映射，支撑产业链各参与主体对实体对象的快速识别、信息查询与追溯管理，是保障产业链协同管控的重要基础。</w:t>
      </w:r>
    </w:p>
    <w:p w14:paraId="6A663F65">
      <w:pPr>
        <w:pStyle w:val="55"/>
        <w:spacing w:before="120" w:after="120"/>
      </w:pPr>
      <w:r>
        <w:rPr>
          <w:rFonts w:hint="eastAsia"/>
        </w:rPr>
        <w:t>编码解码</w:t>
      </w:r>
    </w:p>
    <w:p w14:paraId="7EFC4899">
      <w:pPr>
        <w:pStyle w:val="53"/>
        <w:ind w:firstLine="420"/>
      </w:pPr>
      <w:r>
        <w:rPr>
          <w:rFonts w:hint="eastAsia"/>
        </w:rPr>
        <w:t>支持国家、行业及企业级标识编码标准，包括但不限于物品编码、产品电子代码（EPC）、工业互联网标识等主流标准，满足不同类型产业链对象的标识需求。提供标识的生成、解析、转换能力，标识生成支持根据不同标准自动生成符合规范的标识编码；标识解析可通过标识解析节点快速查询标识关联的对象信息；标识转换支持不同标准标识之间的格式转换与互通，兼容主流标识体系，实现跨标准、跨平台的标识互认。</w:t>
      </w:r>
    </w:p>
    <w:p w14:paraId="6F9AEBF7">
      <w:pPr>
        <w:pStyle w:val="55"/>
        <w:spacing w:before="120" w:after="120"/>
      </w:pPr>
      <w:r>
        <w:rPr>
          <w:rFonts w:hint="eastAsia"/>
        </w:rPr>
        <w:t>加密解密</w:t>
      </w:r>
    </w:p>
    <w:p w14:paraId="11FCDD3D">
      <w:pPr>
        <w:pStyle w:val="53"/>
        <w:ind w:firstLine="420"/>
      </w:pPr>
      <w:r>
        <w:t>对标识数据进行加密处理，保障标识在传输与存储过程中的安全性。在标识数据传输环节，采用加密传输协议对标识数据进行加密封装，防止数据在传输过程中被窃取、篡改；在标识数据存储环节，对标识数据进行加密存储，确保数据在存储介质中的安全性。支持国密算法等主流加密方式，包括 SM1、SM2、SM3、SM4 等国密算法，同时兼容 RSA、AES 等国际通用加密算法，满足不同安全等级的加密需求</w:t>
      </w:r>
      <w:r>
        <w:rPr>
          <w:rFonts w:hint="eastAsia"/>
        </w:rPr>
        <w:t>。</w:t>
      </w:r>
    </w:p>
    <w:p w14:paraId="255B609D">
      <w:pPr>
        <w:pStyle w:val="55"/>
        <w:spacing w:before="120" w:after="120"/>
      </w:pPr>
      <w:r>
        <w:rPr>
          <w:rFonts w:hint="eastAsia"/>
        </w:rPr>
        <w:t>数据防御</w:t>
      </w:r>
    </w:p>
    <w:p w14:paraId="4F6CC13C">
      <w:pPr>
        <w:pStyle w:val="53"/>
        <w:ind w:firstLine="420"/>
      </w:pPr>
      <w:r>
        <w:t>具备标识数据防篡改、防伪造能力，通过采用区块链、数字签名等技术手段，为标识数据添加不可篡改的时间戳与数字签名，确保标识数据的完整性与真实性，防止标识数据被非法篡改与伪造。支持异常访问监测，建立完善的访问监测机制，对标识解析系统的访问行为进行实时监测，识别并拦截非法访问、恶意攻击等异常行为，防范恶意攻击，保障标识解析系统的稳定运行</w:t>
      </w:r>
      <w:r>
        <w:rPr>
          <w:rFonts w:hint="eastAsia"/>
        </w:rPr>
        <w:t>。</w:t>
      </w:r>
    </w:p>
    <w:p w14:paraId="3D962081">
      <w:pPr>
        <w:pStyle w:val="55"/>
        <w:spacing w:before="120" w:after="120"/>
      </w:pPr>
      <w:r>
        <w:rPr>
          <w:rFonts w:hint="eastAsia"/>
        </w:rPr>
        <w:t>正反追溯</w:t>
      </w:r>
    </w:p>
    <w:p w14:paraId="311E4485">
      <w:pPr>
        <w:pStyle w:val="53"/>
        <w:ind w:firstLine="420"/>
      </w:pPr>
      <w:r>
        <w:t>支持正向追溯，从原材料到成品的全流程溯源，通过标识编码关联原材料采购、生产加工、仓储物流、销售交付等全环节数据，实现对产品全生命周期流转过程的跟踪与查询，明确产品各环节的责任主体与运行状态。支持反向追溯，从成品到原材料的问题定位，当产品出现质量问题时，可通过成品标识快速追溯至对应的原材料批次、生产设备、生产工序等关键信息，为质量问题的排查与整改提供精准依据，提升产业链质量管控能力</w:t>
      </w:r>
      <w:r>
        <w:rPr>
          <w:rFonts w:hint="eastAsia"/>
        </w:rPr>
        <w:t>。</w:t>
      </w:r>
    </w:p>
    <w:p w14:paraId="4369DAEA">
      <w:pPr>
        <w:pStyle w:val="55"/>
        <w:spacing w:before="120" w:after="120"/>
      </w:pPr>
      <w:r>
        <w:rPr>
          <w:rFonts w:hint="eastAsia"/>
        </w:rPr>
        <w:t>安全预警</w:t>
      </w:r>
    </w:p>
    <w:p w14:paraId="56896E9A">
      <w:pPr>
        <w:pStyle w:val="53"/>
        <w:ind w:firstLine="420"/>
      </w:pPr>
      <w:r>
        <w:t>对标识解析过程中的异常行为进行实时监测与预警，建立多维度的异常监测指标体系，包括访问频率异常、解析请求异常、数据内容异常等，通过智能算法对监测数据进行分析，及时发现标识解析过程中的安全隐患。提供预警信息推送与处置建议，支持通过短信、邮件、平台消息等多种方式向相关管理人员推送预警信息，并根据异常类型提供针对性的处置建议，指导管理人员快速响应与处理，降低安全风险</w:t>
      </w:r>
      <w:r>
        <w:rPr>
          <w:rFonts w:hint="eastAsia"/>
        </w:rPr>
        <w:t>。</w:t>
      </w:r>
    </w:p>
    <w:p w14:paraId="4F002BFB">
      <w:pPr>
        <w:pStyle w:val="62"/>
        <w:spacing w:before="120" w:after="120"/>
      </w:pPr>
      <w:bookmarkStart w:id="43" w:name="_Toc30543"/>
      <w:r>
        <w:rPr>
          <w:rFonts w:hint="eastAsia"/>
        </w:rPr>
        <w:t>平台支撑层功能要求</w:t>
      </w:r>
      <w:bookmarkEnd w:id="43"/>
    </w:p>
    <w:p w14:paraId="59FDBFCD">
      <w:pPr>
        <w:pStyle w:val="55"/>
        <w:spacing w:before="120" w:after="120"/>
      </w:pPr>
      <w:r>
        <w:rPr>
          <w:rFonts w:hint="eastAsia"/>
        </w:rPr>
        <w:t>概述</w:t>
      </w:r>
    </w:p>
    <w:p w14:paraId="43618463">
      <w:pPr>
        <w:pStyle w:val="53"/>
        <w:ind w:firstLine="420"/>
      </w:pPr>
      <w:r>
        <w:t>平台支撑层是衔接数据管理层、标识解析层与功能构件层、业务应用层的核心技术纽带，为产业链协同管控平台提供统一的技术支撑能力与公共服务组件。该层基于数据资源与标识能力，封装数据建模、规则引擎、算法引擎、应用开发等共性技术能力，通过标准化接口向上层提供服务调用，支撑功能构件的灵活组合与业务应用的快速构建。平台支撑层需具备高可扩展性、高兼容性与高复用性，能够适配不同行业产业链的业务特性与管控需求，降低上层应用的开发与部署成本，保障平台整体的技术稳定性与功能灵活性。</w:t>
      </w:r>
    </w:p>
    <w:p w14:paraId="54A42861">
      <w:pPr>
        <w:pStyle w:val="55"/>
        <w:spacing w:before="120" w:after="120"/>
      </w:pPr>
      <w:bookmarkStart w:id="44" w:name="OLE_LINK2"/>
      <w:r>
        <w:rPr>
          <w:rFonts w:hint="eastAsia"/>
        </w:rPr>
        <w:t>数据建模与语义化</w:t>
      </w:r>
    </w:p>
    <w:p w14:paraId="38ADF62B">
      <w:pPr>
        <w:pStyle w:val="53"/>
        <w:ind w:firstLine="420"/>
      </w:pPr>
      <w:r>
        <w:t>提供产业链统一数据模型构建工具，支持可视化建模方式，允许用户根据产业链业务需求，构建覆盖全产业链的业务数据模型、数据关系模型与数据服务模型。工具内置丰富的模型模板与组件库，支持模型的灵活配置与快速构建，同时支持模型的版本管理与迭代优化。支持语义映射与知识图谱构建，通过语义映射技术实现异构数据之间的语义关联，消除数据语义歧义；基于语义映射结果构建产业链知识图谱，整合产业链中的实体、关系、属性等知识信息，实现数据的语义化关联，为产业链智能分析与决策提供知识支撑</w:t>
      </w:r>
      <w:r>
        <w:rPr>
          <w:rFonts w:hint="eastAsia"/>
        </w:rPr>
        <w:t>。</w:t>
      </w:r>
    </w:p>
    <w:p w14:paraId="04C99CCD">
      <w:pPr>
        <w:pStyle w:val="55"/>
        <w:spacing w:before="120" w:after="120"/>
      </w:pPr>
      <w:r>
        <w:rPr>
          <w:rFonts w:hint="eastAsia"/>
        </w:rPr>
        <w:t>规则引擎</w:t>
      </w:r>
    </w:p>
    <w:p w14:paraId="45911B65">
      <w:pPr>
        <w:pStyle w:val="53"/>
        <w:ind w:firstLine="420"/>
      </w:pPr>
      <w:r>
        <w:t>支持业务规则的可视化建模、推理与执行，提供图形化的规则编辑界面，用户无需编写复杂代码即可完成业务规则的定义，规则支持条件判断、逻辑运算、数学运算等多种逻辑类型，可满足产业链协同管控中的各类业务规则需求。规则推理引擎能够根据实时接入的数据，自动匹配并执行对应的业务规则，输出规则执行结果。支持规则的动态更新与版本管理，用户可根据业务需求变化实时更新规则内容，同时系统自动记录规则的版本信息，支持规则版本的回溯与对比，确保规则的可管理性与可追溯性</w:t>
      </w:r>
      <w:r>
        <w:rPr>
          <w:rFonts w:hint="eastAsia"/>
        </w:rPr>
        <w:t>。</w:t>
      </w:r>
    </w:p>
    <w:p w14:paraId="6AD4D0FF">
      <w:pPr>
        <w:pStyle w:val="55"/>
        <w:spacing w:before="120" w:after="120"/>
      </w:pPr>
      <w:r>
        <w:rPr>
          <w:rFonts w:hint="eastAsia"/>
        </w:rPr>
        <w:t>算法引擎</w:t>
      </w:r>
    </w:p>
    <w:p w14:paraId="0162C8A4">
      <w:pPr>
        <w:pStyle w:val="53"/>
        <w:ind w:firstLine="420"/>
      </w:pPr>
      <w:r>
        <w:t>集成机器学习、深度学习、运筹优化等主流算法，涵盖分类、聚类、回归、预测、优化等多种算法类型，满足产业链协同管控中的需求预测、产能优化、风险评估、资源调度等多种应用场景。提供算法训练、部署与调度能力，支持用户上传训练数据并进行模型训练，内置多种模型评估指标与调参工具，帮助用户优化模型性能；训练完成的模型可一键部署为算法服务，供上层应用调用；算法调度功能可根据业务需求自动分配计算资源，实现多算法任务的并行调度与高效执行，支撑智能决策</w:t>
      </w:r>
      <w:r>
        <w:rPr>
          <w:rFonts w:hint="eastAsia"/>
        </w:rPr>
        <w:t>。</w:t>
      </w:r>
    </w:p>
    <w:p w14:paraId="45B7F4C0">
      <w:pPr>
        <w:pStyle w:val="55"/>
        <w:spacing w:before="120" w:after="120"/>
      </w:pPr>
      <w:r>
        <w:rPr>
          <w:rFonts w:hint="eastAsia"/>
        </w:rPr>
        <w:t>应用开发工具集</w:t>
      </w:r>
    </w:p>
    <w:bookmarkEnd w:id="44"/>
    <w:p w14:paraId="3D3533EE">
      <w:pPr>
        <w:pStyle w:val="53"/>
        <w:ind w:firstLine="420"/>
      </w:pPr>
      <w:r>
        <w:t>提供低代码开发平台、流程表单设计工具、可视化报表工具。低代码开发平台通过可视化拖拽式开发方式，降低应用开发门槛，支持用户快速构建定制化的产业链协同应用，内置丰富的行业应用模板与组件库，提升开发效率；流程表单设计工具支持用户根据业务需求自定义业务流程与表单样式，实现业务流程的数字化流转与表单数据的自动采集；可视化报表工具支持多维度的数据可视化分析，提供柱状图、折线图、饼图、热力图等多种图表类型，支持报表的自定义配置与一键导出，支持快速构建产业链协同应用。</w:t>
      </w:r>
    </w:p>
    <w:p w14:paraId="3D161005">
      <w:pPr>
        <w:pStyle w:val="62"/>
        <w:spacing w:before="120" w:after="120"/>
      </w:pPr>
      <w:bookmarkStart w:id="45" w:name="_Toc25719"/>
      <w:r>
        <w:rPr>
          <w:rFonts w:hint="eastAsia"/>
        </w:rPr>
        <w:t>功能构件层功能要求</w:t>
      </w:r>
      <w:bookmarkEnd w:id="45"/>
    </w:p>
    <w:p w14:paraId="0FC5B4E0">
      <w:pPr>
        <w:pStyle w:val="55"/>
        <w:spacing w:before="120" w:after="120"/>
      </w:pPr>
      <w:r>
        <w:rPr>
          <w:rFonts w:hint="eastAsia"/>
        </w:rPr>
        <w:t>概述</w:t>
      </w:r>
    </w:p>
    <w:p w14:paraId="4DEAD241">
      <w:pPr>
        <w:pStyle w:val="53"/>
        <w:ind w:firstLine="420"/>
      </w:pPr>
      <w:r>
        <w:t>功能构件层为业务应用层提供可复用的核心能力组件，支持按需组合与灵活调用。该层基于平台支撑层的技术能力，将产业链协同管控的核心功能封装为标准化、模块化的功能组件，组件之间通过标准化接口实现互联互通，可根据不同的业务场景需求进行灵活组合与配置，无需重复开发，提升应用构建效率，是连接平台技术能力与业务应用需求的关键桥梁。</w:t>
      </w:r>
    </w:p>
    <w:p w14:paraId="12717280">
      <w:pPr>
        <w:pStyle w:val="55"/>
        <w:spacing w:before="120" w:after="120"/>
      </w:pPr>
      <w:r>
        <w:rPr>
          <w:rFonts w:hint="eastAsia"/>
        </w:rPr>
        <w:t>资源调度</w:t>
      </w:r>
    </w:p>
    <w:p w14:paraId="186B8FA3">
      <w:pPr>
        <w:pStyle w:val="53"/>
        <w:ind w:firstLine="420"/>
      </w:pPr>
      <w:r>
        <w:t>支持产业链资源的全局视图管理与动态调度，通过整合产业链中的设备资源、人力资源、物料资源、产能资源等各类资源信息，构建产业链资源全局视图，实现对资源状态的实时监控与可视化管理。基于资源全局视图与业务需求，采用智能调度算法实现资源供需匹配与优化配置，根据订单优先级、资源利用率、生产周期等因素，自动生成最优的资源调度方案，实现资源的高效利用，提升产业链整体运行效率。</w:t>
      </w:r>
    </w:p>
    <w:p w14:paraId="25425472">
      <w:pPr>
        <w:pStyle w:val="55"/>
        <w:spacing w:before="120" w:after="120"/>
      </w:pPr>
      <w:r>
        <w:rPr>
          <w:rFonts w:hint="eastAsia"/>
        </w:rPr>
        <w:t>模型检索</w:t>
      </w:r>
    </w:p>
    <w:p w14:paraId="4D8CA81A">
      <w:pPr>
        <w:pStyle w:val="53"/>
        <w:ind w:firstLine="420"/>
      </w:pPr>
      <w:r>
        <w:t>提供产业链数字模型的检索、存储与版本管理能力，构建统一的数字模型库，涵盖产品模型、产线模型、工艺模型、供应链模型等各类产业链数字模型。支持多维度的模型检索功能，用户可根据模型类型、名称、版本等条件快速检索所需模型；模型存储采用分布式存储方式，保障模型数据的安全性与可靠性；版本管理功能可记录模型的更新历史，支持模型版本的回溯、对比与管理。同时支持模型的共享与复用，通过权限管理机制实现模型的安全共享，促进产业链数字模型的高效流转与复用，降低模型开发成本。</w:t>
      </w:r>
    </w:p>
    <w:p w14:paraId="7CAE58E0">
      <w:pPr>
        <w:pStyle w:val="55"/>
        <w:spacing w:before="120" w:after="120"/>
      </w:pPr>
      <w:r>
        <w:rPr>
          <w:rFonts w:hint="eastAsia"/>
        </w:rPr>
        <w:t>建模仿真</w:t>
      </w:r>
    </w:p>
    <w:p w14:paraId="1DBDCAEC">
      <w:pPr>
        <w:pStyle w:val="53"/>
        <w:ind w:firstLine="420"/>
      </w:pPr>
      <w:r>
        <w:t>支持产品、产线、供应链的数字建模与仿真分析。产品建模可构建产品的三维数字模型，实现产品结构、性能参数的数字化定义；产线建模可构建产线的数字孪生模型，还原产线的布局、设备配置与运行流程；供应链建模可构建供应链的网络模型，涵盖供应商、制造商、物流企业等协同主体。基于构建的数字模型，提供仿真分析功能，支持对产品性能、产线产能、供应链运行效率等进行仿真模拟，预测不同方案下的运行效果，为产业链协同决策提供科学依据</w:t>
      </w:r>
      <w:r>
        <w:rPr>
          <w:rFonts w:hint="eastAsia"/>
        </w:rPr>
        <w:t>。</w:t>
      </w:r>
    </w:p>
    <w:p w14:paraId="479483CF">
      <w:pPr>
        <w:pStyle w:val="55"/>
        <w:spacing w:before="120" w:after="120"/>
      </w:pPr>
      <w:r>
        <w:rPr>
          <w:rFonts w:hint="eastAsia"/>
        </w:rPr>
        <w:t>虚实联调</w:t>
      </w:r>
    </w:p>
    <w:p w14:paraId="4A4A0F56">
      <w:pPr>
        <w:pStyle w:val="53"/>
        <w:ind w:firstLine="420"/>
      </w:pPr>
      <w:r>
        <w:t>实现虚拟模型与物理实体的联动调试，建立虚拟模型与物理实体之间的实时数据映射关系，物理实体的运行数据可实时反馈至虚拟模型，驱动虚拟模型同步运行；虚拟模型的参数调整可下发至物理实体，指导物理实体的运行优化。通过虚实联调功能，可在虚拟环境中对物理实体的运行状态进行监测、调试与优化，减少物理调试的成本与风险，提升调试效率与精度，实现虚拟与物理的深度融合。</w:t>
      </w:r>
    </w:p>
    <w:p w14:paraId="27916E8C">
      <w:pPr>
        <w:pStyle w:val="55"/>
        <w:spacing w:before="120" w:after="120"/>
      </w:pPr>
      <w:r>
        <w:rPr>
          <w:rFonts w:hint="eastAsia"/>
        </w:rPr>
        <w:t>产能监控</w:t>
      </w:r>
    </w:p>
    <w:p w14:paraId="2F3B3DE6">
      <w:pPr>
        <w:pStyle w:val="53"/>
        <w:ind w:firstLine="420"/>
      </w:pPr>
      <w:r>
        <w:t>实时采集产业链各主体产能数据，通过对接各企业的生产管理系统与设备传感系统，实时获取产能计划数据、实际产出数据、设备运行效率数据、物料供应数据等关键指标。提供产能负荷分析、瓶颈识别与预警能力，产能负荷分析可实时计算各企业、各产线的产能利用率，分析产能负荷分布情况；瓶颈识别功能通过智能算法分析影响产能的关键因素，定位产能瓶颈环节；预警功能可根据设定的预警阈值，对产能不足、设备故障、物料短缺等异常情况进行实时预警，帮助管理人员及时采取措施，保障产业链产能稳定。</w:t>
      </w:r>
    </w:p>
    <w:p w14:paraId="114ABC3E">
      <w:pPr>
        <w:pStyle w:val="62"/>
        <w:spacing w:before="120" w:after="120"/>
      </w:pPr>
      <w:bookmarkStart w:id="46" w:name="_Toc13414"/>
      <w:r>
        <w:rPr>
          <w:rFonts w:hint="eastAsia"/>
        </w:rPr>
        <w:t>业务应用层功能要求</w:t>
      </w:r>
      <w:bookmarkEnd w:id="46"/>
    </w:p>
    <w:p w14:paraId="7B243FA8">
      <w:pPr>
        <w:pStyle w:val="53"/>
        <w:ind w:firstLine="420"/>
      </w:pPr>
      <w:r>
        <w:rPr>
          <w:rFonts w:hint="eastAsia"/>
        </w:rPr>
        <w:t>业务应用层基于核心能力层，面向产业链协同管控的实际业务场景，构建覆盖产业链主要业务环节的协同应用体系，用于将协同组织、资源配置、运行管控和数据共享等能力转化为可直接使用的业务功能。</w:t>
      </w:r>
    </w:p>
    <w:p w14:paraId="38AB0585">
      <w:pPr>
        <w:pStyle w:val="53"/>
        <w:ind w:firstLine="420"/>
      </w:pPr>
      <w:r>
        <w:rPr>
          <w:rFonts w:hint="eastAsia"/>
        </w:rPr>
        <w:t>业务应用层应围绕链主企业对产业链协同运行的统筹管理需求，支持对产业链研发设计、生产制造、经营管理和运维服务等关键业务环节的统一协同与综合管控。各类业务应用应通过调用平台核心能力，实现跨主体、跨系统的业务联动与协同运行。</w:t>
      </w:r>
    </w:p>
    <w:p w14:paraId="13FF91F7">
      <w:pPr>
        <w:pStyle w:val="53"/>
        <w:ind w:firstLine="420"/>
      </w:pPr>
      <w:r>
        <w:rPr>
          <w:rFonts w:hint="eastAsia"/>
        </w:rPr>
        <w:t>业务应用主要包括但不限于以下类型：</w:t>
      </w:r>
    </w:p>
    <w:p w14:paraId="4E8F719E">
      <w:pPr>
        <w:pStyle w:val="69"/>
        <w:numPr>
          <w:ilvl w:val="0"/>
          <w:numId w:val="7"/>
        </w:numPr>
      </w:pPr>
      <w:r>
        <w:rPr>
          <w:rFonts w:hint="eastAsia"/>
        </w:rPr>
        <w:t>研发设计类应用，用于支持产业链协同研发与设计活动，包括产品定义、工艺规划、方案评审与技术变更等业务过程的协同管理，促进链主企业与上下游企业在研发阶段的信息共享、过程协同与决策一致性；</w:t>
      </w:r>
    </w:p>
    <w:p w14:paraId="70069FC6">
      <w:pPr>
        <w:pStyle w:val="69"/>
      </w:pPr>
      <w:r>
        <w:rPr>
          <w:rFonts w:hint="eastAsia"/>
        </w:rPr>
        <w:t>生产制造类应用，用于支持产业链协同生产与交付活动，包括生产计划协同、工序衔接、质量协同控制和交付进度管控，实现链主企业对产业链生产执行过程的统一调度与可视化管理；</w:t>
      </w:r>
    </w:p>
    <w:p w14:paraId="492C65EA">
      <w:pPr>
        <w:pStyle w:val="69"/>
      </w:pPr>
      <w:r>
        <w:rPr>
          <w:rFonts w:hint="eastAsia"/>
        </w:rPr>
        <w:t>经营管理类应用，用于支持产业链协同经营活动，包括采购协同、供应保障、物流组织、库存协同及财务与合同管理等业务，提升链主企业对产业链资源配置、成本控制和经营运行的综合管理能力；</w:t>
      </w:r>
    </w:p>
    <w:p w14:paraId="474EACEE">
      <w:pPr>
        <w:pStyle w:val="69"/>
      </w:pPr>
      <w:r>
        <w:rPr>
          <w:rFonts w:hint="eastAsia"/>
        </w:rPr>
        <w:t>运维服务类应用，用于支持产业链产品和装备全生命周期的服务协同，包括设备运维、售后服务、备品备件保障和客户支持等，实现产业链服务资源的协同调度与服务质量的统一管控。</w:t>
      </w:r>
    </w:p>
    <w:p w14:paraId="304D0805">
      <w:pPr>
        <w:pStyle w:val="53"/>
        <w:ind w:firstLine="420"/>
      </w:pPr>
      <w:r>
        <w:rPr>
          <w:rFonts w:hint="eastAsia"/>
        </w:rPr>
        <w:t>业务应用层应支持应用的模块化组合与灵活部署，能够根据不同行业特点、不同产业链成熟度以及不同管控模式的需求进行配置与扩展，支撑产业链协同管控能力的持续演进和应用深化。</w:t>
      </w:r>
    </w:p>
    <w:p w14:paraId="16396E54">
      <w:pPr>
        <w:pStyle w:val="62"/>
        <w:spacing w:before="120" w:after="120"/>
      </w:pPr>
      <w:bookmarkStart w:id="47" w:name="_Toc8407"/>
      <w:r>
        <w:rPr>
          <w:rFonts w:hint="eastAsia"/>
        </w:rPr>
        <w:t>协同对象层功能要求</w:t>
      </w:r>
      <w:bookmarkEnd w:id="47"/>
    </w:p>
    <w:p w14:paraId="344A3D12">
      <w:pPr>
        <w:pStyle w:val="53"/>
        <w:ind w:firstLine="420"/>
      </w:pPr>
      <w:r>
        <w:rPr>
          <w:rFonts w:hint="eastAsia"/>
        </w:rPr>
        <w:t>协同对象层包括参与产业链协同管控的各类产业主体和服务主体，是产业链协同管控平台实施协同运行与统一管控的对象基础。根据产业链分工与业务角色的不同，协同对象主要包括供应商、制造商、物流企业和服务机构等。</w:t>
      </w:r>
    </w:p>
    <w:p w14:paraId="1F15A9FE">
      <w:pPr>
        <w:pStyle w:val="53"/>
        <w:ind w:firstLine="420"/>
      </w:pPr>
      <w:r>
        <w:rPr>
          <w:rFonts w:hint="eastAsia"/>
        </w:rPr>
        <w:t>协同对象层中的各类主体通过产业链协同管控平台接入并参与协同活动，其业务系统、设备与服务能力应作为平台可识别、可调用和可管控的协同对象纳入统一管理。</w:t>
      </w:r>
    </w:p>
    <w:p w14:paraId="1D272F92">
      <w:pPr>
        <w:pStyle w:val="69"/>
        <w:numPr>
          <w:ilvl w:val="0"/>
          <w:numId w:val="8"/>
        </w:numPr>
      </w:pPr>
      <w:r>
        <w:rPr>
          <w:rFonts w:hint="eastAsia"/>
        </w:rPr>
        <w:t>平台应支持对协同对象的统一接入、身份标识与关系管理，建立覆盖供应、制造、物流和服务等环节的产业链协同对象体系；</w:t>
      </w:r>
    </w:p>
    <w:p w14:paraId="0358B3A8">
      <w:pPr>
        <w:pStyle w:val="69"/>
      </w:pPr>
      <w:r>
        <w:rPr>
          <w:rFonts w:hint="eastAsia"/>
        </w:rPr>
        <w:t>平台应支持与协同对象之间的信息交互与业务协同，实现订单、计划、状态、资源与服务能力等信息的共享与联动，为产业链协同运行与管控决策提供基础支撑；</w:t>
      </w:r>
    </w:p>
    <w:p w14:paraId="7CF0EFAC">
      <w:pPr>
        <w:pStyle w:val="69"/>
      </w:pPr>
      <w:r>
        <w:rPr>
          <w:rFonts w:hint="eastAsia"/>
        </w:rPr>
        <w:t>平台应支持对协同对象参与协同活动的过程与结果进行监测和管理，包括履约情况、资源使用情况和服务质量等，以支撑链主企业对产业链运行的统一协调与管控。</w:t>
      </w:r>
    </w:p>
    <w:p w14:paraId="422789CD">
      <w:pPr>
        <w:pStyle w:val="61"/>
        <w:spacing w:before="240" w:after="240"/>
      </w:pPr>
      <w:bookmarkStart w:id="48" w:name="_Toc8058"/>
      <w:r>
        <w:rPr>
          <w:rFonts w:hint="eastAsia"/>
        </w:rPr>
        <w:t>平台技术要求</w:t>
      </w:r>
      <w:bookmarkEnd w:id="48"/>
    </w:p>
    <w:p w14:paraId="06CDFFD1">
      <w:pPr>
        <w:pStyle w:val="62"/>
        <w:spacing w:before="120" w:after="120"/>
      </w:pPr>
      <w:bookmarkStart w:id="49" w:name="_Toc3491"/>
      <w:r>
        <w:rPr>
          <w:rFonts w:hint="eastAsia"/>
        </w:rPr>
        <w:t>兼容性要求</w:t>
      </w:r>
      <w:bookmarkEnd w:id="49"/>
    </w:p>
    <w:p w14:paraId="27DBA4CF">
      <w:pPr>
        <w:pStyle w:val="69"/>
        <w:numPr>
          <w:ilvl w:val="0"/>
          <w:numId w:val="9"/>
        </w:numPr>
      </w:pPr>
      <w:r>
        <w:rPr>
          <w:rFonts w:hint="eastAsia"/>
        </w:rPr>
        <w:t>支持主流操作系统、数据库、中间件等软件环境；</w:t>
      </w:r>
    </w:p>
    <w:p w14:paraId="304E4F4C">
      <w:pPr>
        <w:pStyle w:val="69"/>
      </w:pPr>
      <w:r>
        <w:rPr>
          <w:rFonts w:hint="eastAsia"/>
        </w:rPr>
        <w:t>兼容 OPC UA、Modbus、MQTT 等主流工业通信协议；</w:t>
      </w:r>
    </w:p>
    <w:p w14:paraId="4744F5FE">
      <w:pPr>
        <w:pStyle w:val="69"/>
      </w:pPr>
      <w:r>
        <w:rPr>
          <w:rFonts w:hint="eastAsia"/>
        </w:rPr>
        <w:t>支持与 ERP、MES、PLM 等主流业务系统集成。</w:t>
      </w:r>
    </w:p>
    <w:p w14:paraId="3B9DF3E1">
      <w:pPr>
        <w:pStyle w:val="62"/>
        <w:spacing w:before="120" w:after="120"/>
      </w:pPr>
      <w:bookmarkStart w:id="50" w:name="_Toc8994"/>
      <w:r>
        <w:rPr>
          <w:rFonts w:hint="eastAsia"/>
        </w:rPr>
        <w:t>安全性要求</w:t>
      </w:r>
      <w:bookmarkEnd w:id="50"/>
    </w:p>
    <w:p w14:paraId="35A1DA14">
      <w:pPr>
        <w:pStyle w:val="69"/>
        <w:numPr>
          <w:ilvl w:val="0"/>
          <w:numId w:val="10"/>
        </w:numPr>
      </w:pPr>
      <w:r>
        <w:rPr>
          <w:rFonts w:hint="eastAsia"/>
        </w:rPr>
        <w:t>符合 GB/T 22239-2019 网络安全等级保护二级及以上要求；</w:t>
      </w:r>
    </w:p>
    <w:p w14:paraId="1D37F4DA">
      <w:pPr>
        <w:pStyle w:val="69"/>
      </w:pPr>
      <w:r>
        <w:rPr>
          <w:rFonts w:hint="eastAsia"/>
        </w:rPr>
        <w:t>具备数据传输加密、存储加密、访问控制能力；</w:t>
      </w:r>
    </w:p>
    <w:p w14:paraId="06B922E5">
      <w:pPr>
        <w:pStyle w:val="69"/>
      </w:pPr>
      <w:r>
        <w:rPr>
          <w:rFonts w:hint="eastAsia"/>
        </w:rPr>
        <w:t>支持操作行为审计与追溯，日志留存时间≥180 天；</w:t>
      </w:r>
    </w:p>
    <w:p w14:paraId="077C5A8D">
      <w:pPr>
        <w:pStyle w:val="69"/>
      </w:pPr>
      <w:r>
        <w:rPr>
          <w:rFonts w:hint="eastAsia"/>
        </w:rPr>
        <w:t>具备容灾备份能力，数据备份恢复时间≤1h。</w:t>
      </w:r>
    </w:p>
    <w:p w14:paraId="48AA7EE8">
      <w:pPr>
        <w:pStyle w:val="62"/>
        <w:spacing w:before="120" w:after="120"/>
      </w:pPr>
      <w:bookmarkStart w:id="51" w:name="_Toc10276"/>
      <w:r>
        <w:rPr>
          <w:rFonts w:hint="eastAsia"/>
        </w:rPr>
        <w:t>可扩展性要求</w:t>
      </w:r>
      <w:bookmarkEnd w:id="51"/>
    </w:p>
    <w:p w14:paraId="4FD36026">
      <w:pPr>
        <w:pStyle w:val="69"/>
        <w:numPr>
          <w:ilvl w:val="0"/>
          <w:numId w:val="11"/>
        </w:numPr>
      </w:pPr>
      <w:r>
        <w:rPr>
          <w:rFonts w:hint="eastAsia"/>
        </w:rPr>
        <w:t>支持功能模块的按需扩展与升级，不影响现有业务运行；</w:t>
      </w:r>
    </w:p>
    <w:p w14:paraId="7B1C71C9">
      <w:pPr>
        <w:pStyle w:val="69"/>
      </w:pPr>
      <w:r>
        <w:rPr>
          <w:rFonts w:hint="eastAsia"/>
        </w:rPr>
        <w:t>支持用户自定义业务流程与应用开发；</w:t>
      </w:r>
    </w:p>
    <w:p w14:paraId="01DE621B">
      <w:pPr>
        <w:pStyle w:val="69"/>
      </w:pPr>
      <w:r>
        <w:rPr>
          <w:rFonts w:hint="eastAsia"/>
        </w:rPr>
        <w:t>支持产业链协同主体的动态增减。</w:t>
      </w:r>
    </w:p>
    <w:bookmarkEnd w:id="9"/>
    <w:p w14:paraId="4B66571C">
      <w:pPr>
        <w:pStyle w:val="53"/>
        <w:ind w:firstLine="0" w:firstLineChars="0"/>
        <w:jc w:val="center"/>
      </w:pPr>
      <w:bookmarkStart w:id="52" w:name="BookMark8"/>
      <w:r>
        <w:rPr>
          <w:rFonts w:hint="eastAsia"/>
        </w:rPr>
        <w:drawing>
          <wp:inline distT="0" distB="0" distL="0" distR="0">
            <wp:extent cx="1485900" cy="317500"/>
            <wp:effectExtent l="0" t="0" r="7620" b="2540"/>
            <wp:docPr id="319531472" name="图片 3"/>
            <wp:cNvGraphicFramePr/>
            <a:graphic xmlns:a="http://schemas.openxmlformats.org/drawingml/2006/main">
              <a:graphicData uri="http://schemas.openxmlformats.org/drawingml/2006/picture">
                <pic:pic xmlns:pic="http://schemas.openxmlformats.org/drawingml/2006/picture">
                  <pic:nvPicPr>
                    <pic:cNvPr id="319531472" name="图片 3"/>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p w14:paraId="0C29E31C"/>
    <w:sectPr>
      <w:pgSz w:w="11906" w:h="16838"/>
      <w:pgMar w:top="1928" w:right="1134" w:bottom="1134" w:left="1134" w:header="1418" w:footer="1134" w:gutter="284"/>
      <w:pgNumType w:start="1"/>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FF3CF">
    <w:pPr>
      <w:pStyle w:val="12"/>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0A69A">
    <w:pPr>
      <w:pStyle w:val="12"/>
      <w:ind w:left="9184" w:leftChars="516" w:hanging="8100" w:hangingChars="4500"/>
    </w:pPr>
    <w:r>
      <w:rPr>
        <w:rFonts w:hint="eastAsia"/>
      </w:rPr>
      <w:t>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96CB">
    <w:pPr>
      <w:pStyle w:val="12"/>
      <w:jc w:val="right"/>
    </w:pPr>
    <w:r>
      <w:fldChar w:fldCharType="begin"/>
    </w:r>
    <w:r>
      <w:instrText xml:space="preserve"> PAGE   \* MERGEFORMAT </w:instrText>
    </w:r>
    <w:r>
      <w:fldChar w:fldCharType="separate"/>
    </w:r>
    <w:r>
      <w:rPr>
        <w:lang w:val="zh-CN"/>
      </w:rPr>
      <w:t>I</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97F8E">
    <w:pPr>
      <w:pStyle w:val="52"/>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8A570">
    <w:pPr>
      <w:pStyle w:val="49"/>
      <w:ind w:right="525"/>
      <w:rPr>
        <w:rFonts w:hint="eastAsia" w:ascii="宋体" w:hAnsi="宋体"/>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55FC3">
    <w:pPr>
      <w:pStyle w:val="13"/>
      <w:spacing w:after="120"/>
      <w:jc w:val="left"/>
      <w:rPr>
        <w:sz w:val="21"/>
      </w:rPr>
    </w:pPr>
    <w:r>
      <w:rPr>
        <w:sz w:val="21"/>
      </w:rPr>
      <w:t>T/CAMETA</w:t>
    </w:r>
    <w:r>
      <w:rPr>
        <w:spacing w:val="158"/>
        <w:sz w:val="21"/>
      </w:rPr>
      <w:t xml:space="preserve"> </w:t>
    </w:r>
    <w:r>
      <w:rPr>
        <w:sz w:val="21"/>
      </w:rPr>
      <w:t>XXXX</w:t>
    </w:r>
    <w:r>
      <w:rPr>
        <w:rFonts w:hint="eastAsia"/>
        <w:sz w:val="21"/>
      </w:rPr>
      <w:t>X</w:t>
    </w:r>
    <w:r>
      <w:rPr>
        <w:sz w:val="21"/>
      </w:rPr>
      <w:t>-</w:t>
    </w:r>
    <w:r>
      <w:rPr>
        <w:rFonts w:hint="eastAsia"/>
        <w:sz w:val="21"/>
      </w:rPr>
      <w:t>20</w:t>
    </w:r>
    <w:r>
      <w:rPr>
        <w:sz w:val="21"/>
      </w:rP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02CD0">
    <w:pPr>
      <w:pStyle w:val="49"/>
      <w:ind w:right="-58"/>
    </w:pPr>
    <w:r>
      <w:t>T/</w:t>
    </w:r>
    <w:r>
      <w:rPr>
        <w:rFonts w:hint="eastAsia"/>
      </w:rPr>
      <w:t>BIAIM</w:t>
    </w:r>
    <w:r>
      <w:rPr>
        <w:spacing w:val="158"/>
      </w:rPr>
      <w:t xml:space="preserve"> </w:t>
    </w:r>
    <w:r>
      <w:rPr>
        <w:rFonts w:hint="eastAsia"/>
      </w:rPr>
      <w:t>0009-2025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AFA07">
    <w:pPr>
      <w:pStyle w:val="54"/>
      <w:rPr>
        <w:rFonts w:hint="eastAsia"/>
      </w:rPr>
    </w:pPr>
    <w:r>
      <w:fldChar w:fldCharType="begin"/>
    </w:r>
    <w:r>
      <w:instrText xml:space="preserve"> STYLEREF  标准文件_文件编号  \* MERGEFORMAT </w:instrText>
    </w:r>
    <w:r>
      <w:fldChar w:fldCharType="separate"/>
    </w:r>
    <w:r>
      <w:rPr>
        <w:b/>
      </w:rPr>
      <w:t>错误！未定义样式。</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AA150">
    <w:pPr>
      <w:pStyle w:val="13"/>
      <w:jc w:val="right"/>
    </w:pPr>
    <w:r>
      <w:fldChar w:fldCharType="begin"/>
    </w:r>
    <w:r>
      <w:instrText xml:space="preserve"> STYLEREF  标准文件_文件编号  \* MERGEFORMAT </w:instrText>
    </w:r>
    <w:r>
      <w:fldChar w:fldCharType="separate"/>
    </w:r>
    <w:r>
      <w:rPr>
        <w:b/>
      </w:rPr>
      <w:t>错误！未定义样式。</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56"/>
      <w:lvlText w:val="%1"/>
      <w:lvlJc w:val="left"/>
      <w:pPr>
        <w:ind w:left="425" w:hanging="425"/>
      </w:pPr>
      <w:rPr>
        <w:rFonts w:hint="eastAsia"/>
      </w:rPr>
    </w:lvl>
    <w:lvl w:ilvl="1" w:tentative="0">
      <w:start w:val="1"/>
      <w:numFmt w:val="decimal"/>
      <w:pStyle w:val="73"/>
      <w:suff w:val="nothing"/>
      <w:lvlText w:val="%10.%2 "/>
      <w:lvlJc w:val="left"/>
      <w:pPr>
        <w:ind w:left="0" w:firstLine="0"/>
      </w:pPr>
      <w:rPr>
        <w:rFonts w:hint="eastAsia" w:ascii="黑体" w:eastAsia="黑体" w:hAnsiTheme="minorHAnsi"/>
        <w:b w:val="0"/>
        <w:i w:val="0"/>
        <w:sz w:val="21"/>
      </w:rPr>
    </w:lvl>
    <w:lvl w:ilvl="2" w:tentative="0">
      <w:start w:val="1"/>
      <w:numFmt w:val="decimal"/>
      <w:pStyle w:val="78"/>
      <w:suff w:val="nothing"/>
      <w:lvlText w:val="%10.%2.%3 "/>
      <w:lvlJc w:val="left"/>
      <w:pPr>
        <w:ind w:left="0" w:firstLine="0"/>
      </w:pPr>
      <w:rPr>
        <w:rFonts w:hint="eastAsia" w:ascii="黑体" w:eastAsia="黑体" w:hAnsiTheme="minorHAnsi"/>
        <w:b w:val="0"/>
        <w:i w:val="0"/>
        <w:sz w:val="21"/>
      </w:rPr>
    </w:lvl>
    <w:lvl w:ilvl="3" w:tentative="0">
      <w:start w:val="1"/>
      <w:numFmt w:val="decimal"/>
      <w:pStyle w:val="75"/>
      <w:suff w:val="nothing"/>
      <w:lvlText w:val="%10.%2.%3.%4 "/>
      <w:lvlJc w:val="left"/>
      <w:pPr>
        <w:ind w:left="0" w:firstLine="0"/>
      </w:pPr>
      <w:rPr>
        <w:rFonts w:hint="eastAsia" w:ascii="黑体" w:eastAsia="黑体" w:hAnsiTheme="minorHAnsi"/>
        <w:b w:val="0"/>
        <w:i w:val="0"/>
        <w:sz w:val="21"/>
      </w:rPr>
    </w:lvl>
    <w:lvl w:ilvl="4" w:tentative="0">
      <w:start w:val="1"/>
      <w:numFmt w:val="decimal"/>
      <w:pStyle w:val="76"/>
      <w:suff w:val="nothing"/>
      <w:lvlText w:val="%10.%2.%3.%4.%5 "/>
      <w:lvlJc w:val="left"/>
      <w:pPr>
        <w:ind w:left="0" w:firstLine="0"/>
      </w:pPr>
      <w:rPr>
        <w:rFonts w:hint="eastAsia" w:ascii="黑体" w:eastAsia="黑体" w:hAnsiTheme="minorHAnsi"/>
        <w:b w:val="0"/>
        <w:i w:val="0"/>
        <w:sz w:val="21"/>
      </w:rPr>
    </w:lvl>
    <w:lvl w:ilvl="5" w:tentative="0">
      <w:start w:val="1"/>
      <w:numFmt w:val="decimal"/>
      <w:pStyle w:val="7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2C5917C3"/>
    <w:multiLevelType w:val="multilevel"/>
    <w:tmpl w:val="2C5917C3"/>
    <w:lvl w:ilvl="0" w:tentative="0">
      <w:start w:val="1"/>
      <w:numFmt w:val="none"/>
      <w:pStyle w:val="6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72"/>
      <w:lvlText w:val=""/>
      <w:lvlJc w:val="left"/>
      <w:pPr>
        <w:ind w:left="851" w:hanging="431"/>
      </w:pPr>
      <w:rPr>
        <w:rFonts w:hint="default" w:ascii="Symbol" w:hAnsi="Symbol"/>
        <w:sz w:val="21"/>
      </w:rPr>
    </w:lvl>
    <w:lvl w:ilvl="2" w:tentative="0">
      <w:start w:val="1"/>
      <w:numFmt w:val="bullet"/>
      <w:pStyle w:val="6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69"/>
      <w:lvlText w:val="%1)"/>
      <w:lvlJc w:val="left"/>
      <w:pPr>
        <w:tabs>
          <w:tab w:val="left" w:pos="851"/>
        </w:tabs>
        <w:ind w:left="851" w:hanging="426"/>
      </w:pPr>
      <w:rPr>
        <w:rFonts w:hint="eastAsia" w:ascii="宋体" w:hAnsi="Times New Roman" w:eastAsia="宋体"/>
        <w:sz w:val="21"/>
      </w:rPr>
    </w:lvl>
    <w:lvl w:ilvl="1" w:tentative="0">
      <w:start w:val="1"/>
      <w:numFmt w:val="decimal"/>
      <w:pStyle w:val="63"/>
      <w:lvlText w:val="%2)"/>
      <w:lvlJc w:val="left"/>
      <w:pPr>
        <w:tabs>
          <w:tab w:val="left" w:pos="1276"/>
        </w:tabs>
        <w:ind w:left="1276" w:hanging="425"/>
      </w:pPr>
      <w:rPr>
        <w:rFonts w:hint="eastAsia" w:ascii="宋体" w:hAnsi="Times New Roman" w:eastAsia="宋体"/>
        <w:sz w:val="21"/>
      </w:rPr>
    </w:lvl>
    <w:lvl w:ilvl="2" w:tentative="0">
      <w:start w:val="1"/>
      <w:numFmt w:val="decimal"/>
      <w:pStyle w:val="65"/>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557C2AF5"/>
    <w:multiLevelType w:val="multilevel"/>
    <w:tmpl w:val="557C2AF5"/>
    <w:lvl w:ilvl="0" w:tentative="0">
      <w:start w:val="1"/>
      <w:numFmt w:val="decimal"/>
      <w:pStyle w:val="6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6CEA2025"/>
    <w:multiLevelType w:val="multilevel"/>
    <w:tmpl w:val="6CEA2025"/>
    <w:lvl w:ilvl="0" w:tentative="0">
      <w:start w:val="1"/>
      <w:numFmt w:val="none"/>
      <w:pStyle w:val="67"/>
      <w:suff w:val="nothing"/>
      <w:lvlText w:val="%1"/>
      <w:lvlJc w:val="left"/>
      <w:pPr>
        <w:ind w:left="0" w:firstLine="0"/>
      </w:pPr>
      <w:rPr>
        <w:rFonts w:hint="eastAsia"/>
      </w:rPr>
    </w:lvl>
    <w:lvl w:ilvl="1" w:tentative="0">
      <w:start w:val="1"/>
      <w:numFmt w:val="decimal"/>
      <w:pStyle w:val="61"/>
      <w:suff w:val="nothing"/>
      <w:lvlText w:val="%1%2　"/>
      <w:lvlJc w:val="left"/>
      <w:pPr>
        <w:ind w:left="0" w:firstLine="0"/>
      </w:pPr>
      <w:rPr>
        <w:rFonts w:hint="eastAsia" w:ascii="黑体" w:eastAsia="黑体"/>
        <w:b w:val="0"/>
        <w:i w:val="0"/>
        <w:sz w:val="21"/>
      </w:rPr>
    </w:lvl>
    <w:lvl w:ilvl="2" w:tentative="0">
      <w:start w:val="1"/>
      <w:numFmt w:val="decimal"/>
      <w:pStyle w:val="6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55"/>
      <w:suff w:val="nothing"/>
      <w:lvlText w:val="%1%2.%3.%4　"/>
      <w:lvlJc w:val="left"/>
      <w:pPr>
        <w:ind w:left="0" w:firstLine="0"/>
      </w:pPr>
      <w:rPr>
        <w:rFonts w:hint="eastAsia" w:ascii="黑体" w:eastAsia="黑体"/>
        <w:b w:val="0"/>
        <w:i w:val="0"/>
        <w:sz w:val="21"/>
      </w:rPr>
    </w:lvl>
    <w:lvl w:ilvl="4" w:tentative="0">
      <w:start w:val="1"/>
      <w:numFmt w:val="decimal"/>
      <w:pStyle w:val="58"/>
      <w:suff w:val="nothing"/>
      <w:lvlText w:val="%1%2.%3.%4.%5　"/>
      <w:lvlJc w:val="left"/>
      <w:pPr>
        <w:ind w:left="0" w:firstLine="0"/>
      </w:pPr>
      <w:rPr>
        <w:rFonts w:hint="eastAsia" w:ascii="黑体" w:eastAsia="黑体"/>
        <w:b w:val="0"/>
        <w:i w:val="0"/>
        <w:sz w:val="21"/>
      </w:rPr>
    </w:lvl>
    <w:lvl w:ilvl="5" w:tentative="0">
      <w:start w:val="1"/>
      <w:numFmt w:val="decimal"/>
      <w:pStyle w:val="59"/>
      <w:suff w:val="nothing"/>
      <w:lvlText w:val="%1%2.%3.%4.%5.%6　"/>
      <w:lvlJc w:val="left"/>
      <w:pPr>
        <w:ind w:left="0" w:firstLine="0"/>
      </w:pPr>
      <w:rPr>
        <w:rFonts w:hint="eastAsia" w:ascii="黑体" w:eastAsia="黑体"/>
        <w:b w:val="0"/>
        <w:i w:val="0"/>
        <w:sz w:val="21"/>
      </w:rPr>
    </w:lvl>
    <w:lvl w:ilvl="6" w:tentative="0">
      <w:start w:val="1"/>
      <w:numFmt w:val="decimal"/>
      <w:pStyle w:val="60"/>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0"/>
  </w:num>
  <w:num w:numId="3">
    <w:abstractNumId w:val="2"/>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BF7"/>
    <w:rsid w:val="000904EC"/>
    <w:rsid w:val="00191DF5"/>
    <w:rsid w:val="002860A6"/>
    <w:rsid w:val="002E12C1"/>
    <w:rsid w:val="004E55EC"/>
    <w:rsid w:val="004F2CE6"/>
    <w:rsid w:val="00505888"/>
    <w:rsid w:val="00552424"/>
    <w:rsid w:val="00661716"/>
    <w:rsid w:val="00731902"/>
    <w:rsid w:val="00731E12"/>
    <w:rsid w:val="00762F10"/>
    <w:rsid w:val="007A210B"/>
    <w:rsid w:val="007F6C6F"/>
    <w:rsid w:val="00866412"/>
    <w:rsid w:val="008841AF"/>
    <w:rsid w:val="008A6954"/>
    <w:rsid w:val="008C03D2"/>
    <w:rsid w:val="009735D0"/>
    <w:rsid w:val="00A34E42"/>
    <w:rsid w:val="00A641AA"/>
    <w:rsid w:val="00AB6E91"/>
    <w:rsid w:val="00B40FB0"/>
    <w:rsid w:val="00C27D83"/>
    <w:rsid w:val="00C91D23"/>
    <w:rsid w:val="00CB2BF7"/>
    <w:rsid w:val="00CF14BE"/>
    <w:rsid w:val="00D16334"/>
    <w:rsid w:val="00D33A07"/>
    <w:rsid w:val="00DB0FC8"/>
    <w:rsid w:val="00DC1872"/>
    <w:rsid w:val="00DD6450"/>
    <w:rsid w:val="00E8610C"/>
    <w:rsid w:val="00EF4D32"/>
    <w:rsid w:val="00F01D83"/>
    <w:rsid w:val="00F321A7"/>
    <w:rsid w:val="00F601BE"/>
    <w:rsid w:val="00FA010A"/>
    <w:rsid w:val="02251150"/>
    <w:rsid w:val="02A8425B"/>
    <w:rsid w:val="02FA25DD"/>
    <w:rsid w:val="036C0B24"/>
    <w:rsid w:val="03795BF7"/>
    <w:rsid w:val="06AD62E4"/>
    <w:rsid w:val="06B331CE"/>
    <w:rsid w:val="07E04497"/>
    <w:rsid w:val="0B397091"/>
    <w:rsid w:val="0BA81BAD"/>
    <w:rsid w:val="0C06475C"/>
    <w:rsid w:val="0D3F756A"/>
    <w:rsid w:val="0DE87C01"/>
    <w:rsid w:val="0E46562E"/>
    <w:rsid w:val="0ECA7307"/>
    <w:rsid w:val="0F1B7B63"/>
    <w:rsid w:val="0F924287"/>
    <w:rsid w:val="1151658F"/>
    <w:rsid w:val="13D13A74"/>
    <w:rsid w:val="171C6B6E"/>
    <w:rsid w:val="181D0DEF"/>
    <w:rsid w:val="18D56FD4"/>
    <w:rsid w:val="19C332D1"/>
    <w:rsid w:val="19F93196"/>
    <w:rsid w:val="1A682661"/>
    <w:rsid w:val="1ACE5888"/>
    <w:rsid w:val="1B26620D"/>
    <w:rsid w:val="1B893D74"/>
    <w:rsid w:val="1C47643B"/>
    <w:rsid w:val="1E48649A"/>
    <w:rsid w:val="1EBF49AE"/>
    <w:rsid w:val="1EFF2F91"/>
    <w:rsid w:val="21D06ED2"/>
    <w:rsid w:val="21DF17AC"/>
    <w:rsid w:val="223109A8"/>
    <w:rsid w:val="22916662"/>
    <w:rsid w:val="23045086"/>
    <w:rsid w:val="239D1036"/>
    <w:rsid w:val="25C92E20"/>
    <w:rsid w:val="26647BE9"/>
    <w:rsid w:val="26C07516"/>
    <w:rsid w:val="289C366A"/>
    <w:rsid w:val="29954C89"/>
    <w:rsid w:val="2B715282"/>
    <w:rsid w:val="2D960FD0"/>
    <w:rsid w:val="2D99286E"/>
    <w:rsid w:val="2DA134D1"/>
    <w:rsid w:val="2DA90D03"/>
    <w:rsid w:val="2DD613CD"/>
    <w:rsid w:val="2E516CA5"/>
    <w:rsid w:val="2F340AA1"/>
    <w:rsid w:val="2F963509"/>
    <w:rsid w:val="301C48FC"/>
    <w:rsid w:val="304F36B8"/>
    <w:rsid w:val="31C44277"/>
    <w:rsid w:val="31CA749A"/>
    <w:rsid w:val="32290665"/>
    <w:rsid w:val="334E5EA9"/>
    <w:rsid w:val="33C06DA7"/>
    <w:rsid w:val="35F40F8A"/>
    <w:rsid w:val="360016DD"/>
    <w:rsid w:val="36533F02"/>
    <w:rsid w:val="36E0150E"/>
    <w:rsid w:val="38B44A00"/>
    <w:rsid w:val="38EC7F72"/>
    <w:rsid w:val="39290686"/>
    <w:rsid w:val="3A377697"/>
    <w:rsid w:val="3BE13D5E"/>
    <w:rsid w:val="3C2D281F"/>
    <w:rsid w:val="3C5C1637"/>
    <w:rsid w:val="3D734E8A"/>
    <w:rsid w:val="3E3C1720"/>
    <w:rsid w:val="3EC82FB3"/>
    <w:rsid w:val="3EDE27D7"/>
    <w:rsid w:val="3FC84615"/>
    <w:rsid w:val="3FFC1167"/>
    <w:rsid w:val="40384169"/>
    <w:rsid w:val="40703903"/>
    <w:rsid w:val="40DA73F3"/>
    <w:rsid w:val="41365509"/>
    <w:rsid w:val="43370708"/>
    <w:rsid w:val="433C7ACC"/>
    <w:rsid w:val="43A044FF"/>
    <w:rsid w:val="45372C41"/>
    <w:rsid w:val="4A357A0A"/>
    <w:rsid w:val="4B9F639D"/>
    <w:rsid w:val="4C9B3AB5"/>
    <w:rsid w:val="4CAA019C"/>
    <w:rsid w:val="4CD17A13"/>
    <w:rsid w:val="4E437F61"/>
    <w:rsid w:val="4EFA0F67"/>
    <w:rsid w:val="4F136E54"/>
    <w:rsid w:val="4F616EB4"/>
    <w:rsid w:val="51025EB1"/>
    <w:rsid w:val="53052C33"/>
    <w:rsid w:val="53CC09F8"/>
    <w:rsid w:val="57D4431F"/>
    <w:rsid w:val="5980650D"/>
    <w:rsid w:val="5B131A85"/>
    <w:rsid w:val="5C867052"/>
    <w:rsid w:val="5E2356B9"/>
    <w:rsid w:val="5F100333"/>
    <w:rsid w:val="61D03DA9"/>
    <w:rsid w:val="62D13935"/>
    <w:rsid w:val="62D81168"/>
    <w:rsid w:val="63840C1D"/>
    <w:rsid w:val="666511CC"/>
    <w:rsid w:val="66FE3167"/>
    <w:rsid w:val="676C1E7F"/>
    <w:rsid w:val="67E265E5"/>
    <w:rsid w:val="680B78E9"/>
    <w:rsid w:val="684828EC"/>
    <w:rsid w:val="688558EE"/>
    <w:rsid w:val="693743DE"/>
    <w:rsid w:val="695157D0"/>
    <w:rsid w:val="69DB133C"/>
    <w:rsid w:val="6A955B90"/>
    <w:rsid w:val="6BBB5183"/>
    <w:rsid w:val="6BC05C0B"/>
    <w:rsid w:val="6BFD7869"/>
    <w:rsid w:val="6E6E0BD2"/>
    <w:rsid w:val="6E950EC0"/>
    <w:rsid w:val="6FB6638D"/>
    <w:rsid w:val="70CE3BAA"/>
    <w:rsid w:val="743E3159"/>
    <w:rsid w:val="7499002B"/>
    <w:rsid w:val="74F00593"/>
    <w:rsid w:val="765F4995"/>
    <w:rsid w:val="766027E3"/>
    <w:rsid w:val="78917997"/>
    <w:rsid w:val="7AAE13D1"/>
    <w:rsid w:val="7B925CEF"/>
    <w:rsid w:val="7C611D76"/>
    <w:rsid w:val="7C8141C6"/>
    <w:rsid w:val="7E7044F2"/>
    <w:rsid w:val="7F02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toc 3"/>
    <w:basedOn w:val="1"/>
    <w:next w:val="1"/>
    <w:autoRedefine/>
    <w:unhideWhenUsed/>
    <w:qFormat/>
    <w:uiPriority w:val="39"/>
    <w:pPr>
      <w:ind w:left="840" w:leftChars="400"/>
    </w:pPr>
  </w:style>
  <w:style w:type="paragraph" w:styleId="12">
    <w:name w:val="footer"/>
    <w:basedOn w:val="1"/>
    <w:link w:val="40"/>
    <w:unhideWhenUsed/>
    <w:qFormat/>
    <w:uiPriority w:val="99"/>
    <w:pPr>
      <w:tabs>
        <w:tab w:val="center" w:pos="4153"/>
        <w:tab w:val="right" w:pos="8306"/>
      </w:tabs>
      <w:snapToGrid w:val="0"/>
      <w:jc w:val="left"/>
    </w:pPr>
    <w:rPr>
      <w:sz w:val="18"/>
      <w:szCs w:val="18"/>
    </w:rPr>
  </w:style>
  <w:style w:type="paragraph" w:styleId="13">
    <w:name w:val="header"/>
    <w:basedOn w:val="1"/>
    <w:link w:val="39"/>
    <w:unhideWhenUsed/>
    <w:qFormat/>
    <w:uiPriority w:val="99"/>
    <w:pPr>
      <w:tabs>
        <w:tab w:val="center" w:pos="4153"/>
        <w:tab w:val="right" w:pos="8306"/>
      </w:tabs>
      <w:snapToGrid w:val="0"/>
      <w:jc w:val="center"/>
    </w:pPr>
    <w:rPr>
      <w:sz w:val="18"/>
      <w:szCs w:val="18"/>
    </w:rPr>
  </w:style>
  <w:style w:type="paragraph" w:styleId="14">
    <w:name w:val="toc 1"/>
    <w:basedOn w:val="1"/>
    <w:next w:val="1"/>
    <w:qFormat/>
    <w:uiPriority w:val="39"/>
    <w:pPr>
      <w:widowControl/>
      <w:tabs>
        <w:tab w:val="right" w:leader="dot" w:pos="9345"/>
      </w:tabs>
      <w:adjustRightInd w:val="0"/>
      <w:spacing w:line="309" w:lineRule="atLeast"/>
    </w:pPr>
  </w:style>
  <w:style w:type="paragraph" w:styleId="15">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oc 2"/>
    <w:basedOn w:val="1"/>
    <w:next w:val="1"/>
    <w:autoRedefine/>
    <w:unhideWhenUsed/>
    <w:qFormat/>
    <w:uiPriority w:val="39"/>
    <w:pPr>
      <w:ind w:left="420" w:leftChars="200"/>
    </w:pPr>
  </w:style>
  <w:style w:type="paragraph" w:styleId="17">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0">
    <w:name w:val="Hyperlink"/>
    <w:qFormat/>
    <w:uiPriority w:val="99"/>
    <w:rPr>
      <w:rFonts w:ascii="宋体" w:hAnsi="Times New Roman" w:eastAsia="宋体"/>
      <w:color w:val="auto"/>
      <w:spacing w:val="0"/>
      <w:w w:val="100"/>
      <w:position w:val="0"/>
      <w:sz w:val="21"/>
      <w:u w:val="none"/>
      <w:vertAlign w:val="baseline"/>
    </w:rPr>
  </w:style>
  <w:style w:type="character" w:customStyle="1" w:styleId="21">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5"/>
    <w:semiHidden/>
    <w:qFormat/>
    <w:uiPriority w:val="9"/>
    <w:rPr>
      <w:rFonts w:cstheme="majorBidi"/>
      <w:color w:val="104862" w:themeColor="accent1" w:themeShade="BF"/>
      <w:sz w:val="28"/>
      <w:szCs w:val="28"/>
    </w:rPr>
  </w:style>
  <w:style w:type="character" w:customStyle="1" w:styleId="25">
    <w:name w:val="标题 5 字符"/>
    <w:basedOn w:val="19"/>
    <w:link w:val="6"/>
    <w:semiHidden/>
    <w:qFormat/>
    <w:uiPriority w:val="9"/>
    <w:rPr>
      <w:rFonts w:cstheme="majorBidi"/>
      <w:color w:val="104862" w:themeColor="accent1" w:themeShade="BF"/>
      <w:sz w:val="24"/>
      <w:szCs w:val="24"/>
    </w:rPr>
  </w:style>
  <w:style w:type="character" w:customStyle="1" w:styleId="26">
    <w:name w:val="标题 6 字符"/>
    <w:basedOn w:val="19"/>
    <w:link w:val="7"/>
    <w:semiHidden/>
    <w:qFormat/>
    <w:uiPriority w:val="9"/>
    <w:rPr>
      <w:rFonts w:cstheme="majorBidi"/>
      <w:b/>
      <w:bCs/>
      <w:color w:val="104862" w:themeColor="accent1" w:themeShade="BF"/>
    </w:rPr>
  </w:style>
  <w:style w:type="character" w:customStyle="1" w:styleId="27">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qFormat/>
    <w:uiPriority w:val="30"/>
    <w:rPr>
      <w:i/>
      <w:iCs/>
      <w:color w:val="104862" w:themeColor="accent1" w:themeShade="BF"/>
    </w:rPr>
  </w:style>
  <w:style w:type="character" w:customStyle="1" w:styleId="38">
    <w:name w:val="明显参考1"/>
    <w:basedOn w:val="19"/>
    <w:qFormat/>
    <w:uiPriority w:val="32"/>
    <w:rPr>
      <w:b/>
      <w:bCs/>
      <w:smallCaps/>
      <w:color w:val="104862" w:themeColor="accent1" w:themeShade="BF"/>
      <w:spacing w:val="5"/>
    </w:rPr>
  </w:style>
  <w:style w:type="character" w:customStyle="1" w:styleId="39">
    <w:name w:val="页眉 字符"/>
    <w:basedOn w:val="19"/>
    <w:link w:val="13"/>
    <w:qFormat/>
    <w:uiPriority w:val="99"/>
    <w:rPr>
      <w:sz w:val="18"/>
      <w:szCs w:val="18"/>
    </w:rPr>
  </w:style>
  <w:style w:type="character" w:customStyle="1" w:styleId="40">
    <w:name w:val="页脚 字符"/>
    <w:basedOn w:val="19"/>
    <w:link w:val="12"/>
    <w:qFormat/>
    <w:uiPriority w:val="99"/>
    <w:rPr>
      <w:sz w:val="18"/>
      <w:szCs w:val="18"/>
    </w:rPr>
  </w:style>
  <w:style w:type="character" w:customStyle="1" w:styleId="41">
    <w:name w:val="页脚 字符1"/>
    <w:qFormat/>
    <w:uiPriority w:val="99"/>
    <w:rPr>
      <w:kern w:val="2"/>
      <w:sz w:val="18"/>
      <w:szCs w:val="18"/>
    </w:rPr>
  </w:style>
  <w:style w:type="character" w:customStyle="1" w:styleId="42">
    <w:name w:val="页眉 字符1"/>
    <w:qFormat/>
    <w:uiPriority w:val="0"/>
    <w:rPr>
      <w:kern w:val="2"/>
      <w:sz w:val="18"/>
      <w:szCs w:val="18"/>
    </w:rPr>
  </w:style>
  <w:style w:type="paragraph" w:customStyle="1" w:styleId="4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8">
    <w:name w:val="实施日期"/>
    <w:basedOn w:val="47"/>
    <w:qFormat/>
    <w:uiPriority w:val="0"/>
    <w:pPr>
      <w:framePr w:hSpace="0" w:wrap="around" w:xAlign="right"/>
      <w:jc w:val="right"/>
    </w:pPr>
  </w:style>
  <w:style w:type="paragraph" w:customStyle="1" w:styleId="4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0">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5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文件_段"/>
    <w:link w:val="7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5">
    <w:name w:val="标准文件_二级条标题"/>
    <w:next w:val="53"/>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56">
    <w:name w:val="标准文件_前言、引言标题"/>
    <w:next w:val="1"/>
    <w:qFormat/>
    <w:uiPriority w:val="0"/>
    <w:pPr>
      <w:numPr>
        <w:ilvl w:val="0"/>
        <w:numId w:val="2"/>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7">
    <w:name w:val="标准文件_目录标题"/>
    <w:basedOn w:val="1"/>
    <w:qFormat/>
    <w:uiPriority w:val="0"/>
    <w:pPr>
      <w:adjustRightInd w:val="0"/>
      <w:spacing w:before="480" w:after="150" w:afterLines="150"/>
      <w:jc w:val="center"/>
    </w:pPr>
    <w:rPr>
      <w:rFonts w:ascii="黑体" w:hAnsi="Calibri" w:eastAsia="黑体"/>
      <w:sz w:val="32"/>
      <w:szCs w:val="21"/>
    </w:rPr>
  </w:style>
  <w:style w:type="paragraph" w:customStyle="1" w:styleId="58">
    <w:name w:val="标准文件_三级条标题"/>
    <w:basedOn w:val="55"/>
    <w:next w:val="53"/>
    <w:qFormat/>
    <w:uiPriority w:val="0"/>
    <w:pPr>
      <w:widowControl/>
      <w:numPr>
        <w:ilvl w:val="4"/>
      </w:numPr>
      <w:outlineLvl w:val="3"/>
    </w:pPr>
  </w:style>
  <w:style w:type="paragraph" w:customStyle="1" w:styleId="59">
    <w:name w:val="标准文件_四级条标题"/>
    <w:next w:val="53"/>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60">
    <w:name w:val="标准文件_五级条标题"/>
    <w:next w:val="53"/>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61">
    <w:name w:val="标准文件_章标题"/>
    <w:next w:val="53"/>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2">
    <w:name w:val="标准文件_一级条标题"/>
    <w:basedOn w:val="61"/>
    <w:next w:val="53"/>
    <w:qFormat/>
    <w:uiPriority w:val="0"/>
    <w:pPr>
      <w:numPr>
        <w:ilvl w:val="2"/>
      </w:numPr>
      <w:spacing w:before="50" w:beforeLines="50" w:after="50" w:afterLines="50"/>
      <w:outlineLvl w:val="1"/>
    </w:pPr>
  </w:style>
  <w:style w:type="paragraph" w:customStyle="1" w:styleId="63">
    <w:name w:val="标准文件_数字编号列项（二级）"/>
    <w:qFormat/>
    <w:uiPriority w:val="0"/>
    <w:pPr>
      <w:numPr>
        <w:ilvl w:val="1"/>
        <w:numId w:val="3"/>
      </w:numPr>
      <w:tabs>
        <w:tab w:val="left" w:pos="851"/>
      </w:tabs>
      <w:jc w:val="both"/>
    </w:pPr>
    <w:rPr>
      <w:rFonts w:ascii="宋体" w:hAnsi="Times New Roman" w:eastAsia="宋体" w:cs="Times New Roman"/>
      <w:sz w:val="21"/>
      <w:lang w:val="en-US" w:eastAsia="zh-CN" w:bidi="ar-SA"/>
    </w:rPr>
  </w:style>
  <w:style w:type="paragraph" w:customStyle="1" w:styleId="64">
    <w:name w:val="标准文件_正文图标题"/>
    <w:next w:val="5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65">
    <w:name w:val="标准文件_编号列项（三级）"/>
    <w:qFormat/>
    <w:uiPriority w:val="0"/>
    <w:pPr>
      <w:numPr>
        <w:ilvl w:val="2"/>
        <w:numId w:val="3"/>
      </w:numPr>
      <w:tabs>
        <w:tab w:val="left" w:pos="851"/>
      </w:tabs>
    </w:pPr>
    <w:rPr>
      <w:rFonts w:ascii="宋体" w:hAnsi="Times New Roman" w:eastAsia="宋体" w:cs="Times New Roman"/>
      <w:sz w:val="21"/>
      <w:lang w:val="en-US" w:eastAsia="zh-CN" w:bidi="ar-SA"/>
    </w:rPr>
  </w:style>
  <w:style w:type="paragraph" w:customStyle="1" w:styleId="66">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6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68">
    <w:name w:val="标准文件_三级项"/>
    <w:basedOn w:val="1"/>
    <w:qFormat/>
    <w:uiPriority w:val="0"/>
    <w:pPr>
      <w:numPr>
        <w:ilvl w:val="2"/>
        <w:numId w:val="5"/>
      </w:numPr>
      <w:adjustRightInd w:val="0"/>
      <w:spacing w:line="536870612" w:lineRule="auto"/>
    </w:pPr>
    <w:rPr>
      <w:szCs w:val="21"/>
    </w:rPr>
  </w:style>
  <w:style w:type="paragraph" w:customStyle="1" w:styleId="69">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7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character" w:customStyle="1" w:styleId="71">
    <w:name w:val="标准文件_段 Char"/>
    <w:link w:val="53"/>
    <w:qFormat/>
    <w:uiPriority w:val="0"/>
    <w:rPr>
      <w:rFonts w:ascii="宋体" w:hAnsi="Times New Roman" w:eastAsia="宋体" w:cs="Times New Roman"/>
      <w:kern w:val="0"/>
      <w:szCs w:val="20"/>
      <w14:ligatures w14:val="none"/>
    </w:rPr>
  </w:style>
  <w:style w:type="paragraph" w:customStyle="1" w:styleId="72">
    <w:name w:val="标准文件_二级项2"/>
    <w:basedOn w:val="53"/>
    <w:qFormat/>
    <w:uiPriority w:val="0"/>
    <w:pPr>
      <w:numPr>
        <w:ilvl w:val="1"/>
        <w:numId w:val="5"/>
      </w:numPr>
      <w:tabs>
        <w:tab w:val="left" w:pos="360"/>
      </w:tabs>
      <w:ind w:left="0" w:firstLine="0" w:firstLineChars="0"/>
    </w:pPr>
  </w:style>
  <w:style w:type="paragraph" w:customStyle="1" w:styleId="73">
    <w:name w:val="标准文件_引言一级条标题"/>
    <w:basedOn w:val="53"/>
    <w:next w:val="53"/>
    <w:qFormat/>
    <w:uiPriority w:val="0"/>
    <w:pPr>
      <w:numPr>
        <w:ilvl w:val="1"/>
        <w:numId w:val="2"/>
      </w:numPr>
      <w:tabs>
        <w:tab w:val="left" w:pos="360"/>
      </w:tabs>
      <w:spacing w:before="50" w:beforeLines="50" w:after="50" w:afterLines="50"/>
      <w:ind w:firstLine="200" w:firstLineChars="0"/>
    </w:pPr>
    <w:rPr>
      <w:rFonts w:ascii="黑体" w:eastAsia="黑体"/>
    </w:rPr>
  </w:style>
  <w:style w:type="paragraph" w:customStyle="1" w:styleId="74">
    <w:name w:val="标准文件_引言二级条标题"/>
    <w:basedOn w:val="53"/>
    <w:next w:val="53"/>
    <w:qFormat/>
    <w:uiPriority w:val="0"/>
    <w:pPr>
      <w:tabs>
        <w:tab w:val="left" w:pos="360"/>
      </w:tabs>
      <w:spacing w:before="50" w:beforeLines="50" w:after="50" w:afterLines="50"/>
      <w:ind w:firstLineChars="0"/>
    </w:pPr>
    <w:rPr>
      <w:rFonts w:ascii="黑体" w:eastAsia="黑体"/>
    </w:rPr>
  </w:style>
  <w:style w:type="paragraph" w:customStyle="1" w:styleId="75">
    <w:name w:val="标准文件_引言三级条标题"/>
    <w:basedOn w:val="53"/>
    <w:next w:val="53"/>
    <w:qFormat/>
    <w:uiPriority w:val="0"/>
    <w:pPr>
      <w:numPr>
        <w:ilvl w:val="3"/>
        <w:numId w:val="2"/>
      </w:numPr>
      <w:tabs>
        <w:tab w:val="left" w:pos="360"/>
      </w:tabs>
      <w:spacing w:before="50" w:beforeLines="50" w:after="50" w:afterLines="50"/>
      <w:ind w:firstLine="200" w:firstLineChars="0"/>
    </w:pPr>
    <w:rPr>
      <w:rFonts w:ascii="黑体" w:eastAsia="黑体"/>
    </w:rPr>
  </w:style>
  <w:style w:type="paragraph" w:customStyle="1" w:styleId="76">
    <w:name w:val="标准文件_引言四级条标题"/>
    <w:basedOn w:val="53"/>
    <w:next w:val="53"/>
    <w:qFormat/>
    <w:uiPriority w:val="0"/>
    <w:pPr>
      <w:numPr>
        <w:ilvl w:val="4"/>
        <w:numId w:val="2"/>
      </w:numPr>
      <w:tabs>
        <w:tab w:val="left" w:pos="360"/>
      </w:tabs>
      <w:spacing w:before="50" w:beforeLines="50" w:after="50" w:afterLines="50"/>
      <w:ind w:firstLine="200" w:firstLineChars="0"/>
    </w:pPr>
    <w:rPr>
      <w:rFonts w:ascii="黑体" w:eastAsia="黑体"/>
    </w:rPr>
  </w:style>
  <w:style w:type="paragraph" w:customStyle="1" w:styleId="77">
    <w:name w:val="标准文件_引言五级条标题"/>
    <w:basedOn w:val="53"/>
    <w:next w:val="53"/>
    <w:qFormat/>
    <w:uiPriority w:val="0"/>
    <w:pPr>
      <w:numPr>
        <w:ilvl w:val="5"/>
        <w:numId w:val="2"/>
      </w:numPr>
      <w:tabs>
        <w:tab w:val="left" w:pos="360"/>
      </w:tabs>
      <w:spacing w:before="50" w:beforeLines="50" w:after="50" w:afterLines="50"/>
      <w:ind w:firstLine="200" w:firstLineChars="0"/>
    </w:pPr>
    <w:rPr>
      <w:rFonts w:ascii="黑体" w:eastAsia="黑体"/>
    </w:rPr>
  </w:style>
  <w:style w:type="paragraph" w:customStyle="1" w:styleId="78">
    <w:name w:val="标准文件_术语条一"/>
    <w:basedOn w:val="79"/>
    <w:next w:val="53"/>
    <w:qFormat/>
    <w:uiPriority w:val="0"/>
    <w:pPr>
      <w:widowControl/>
      <w:numPr>
        <w:ilvl w:val="2"/>
        <w:numId w:val="2"/>
      </w:numPr>
    </w:pPr>
    <w:rPr>
      <w:rFonts w:ascii="宋体"/>
      <w:kern w:val="0"/>
      <w:szCs w:val="20"/>
    </w:rPr>
  </w:style>
  <w:style w:type="paragraph" w:customStyle="1" w:styleId="79">
    <w:name w:val="标准文件_一级无标题"/>
    <w:basedOn w:val="62"/>
    <w:qFormat/>
    <w:uiPriority w:val="0"/>
    <w:pPr>
      <w:spacing w:before="0" w:beforeLines="0" w:after="0" w:afterLines="0"/>
      <w:outlineLvl w:val="9"/>
    </w:pPr>
    <w:rPr>
      <w:rFonts w:ascii="宋体" w:eastAsia="宋体"/>
    </w:rPr>
  </w:style>
  <w:style w:type="paragraph" w:customStyle="1" w:styleId="80">
    <w:name w:val="段"/>
    <w:basedOn w:val="1"/>
    <w:qFormat/>
    <w:uiPriority w:val="0"/>
    <w:pPr>
      <w:widowControl/>
      <w:tabs>
        <w:tab w:val="center" w:pos="4201"/>
        <w:tab w:val="right" w:leader="dot" w:pos="9298"/>
      </w:tabs>
      <w:autoSpaceDE w:val="0"/>
      <w:autoSpaceDN w:val="0"/>
      <w:ind w:firstLine="420" w:firstLineChars="200"/>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2d70f75-298f-4eb6-82f8-69c95d9832e4}"/>
        <w:style w:val=""/>
        <w:category>
          <w:name w:val="常规"/>
          <w:gallery w:val="placeholder"/>
        </w:category>
        <w:types>
          <w:type w:val="bbPlcHdr"/>
        </w:types>
        <w:behaviors>
          <w:behavior w:val="content"/>
        </w:behaviors>
        <w:description w:val=""/>
        <w:guid w:val="{d2d70f75-298f-4eb6-82f8-69c95d9832e4}"/>
      </w:docPartPr>
      <w:docPartBody>
        <w:p w14:paraId="7780B01D">
          <w:pPr>
            <w:pStyle w:val="8"/>
            <w:rPr>
              <w:rFonts w:hint="eastAsia"/>
            </w:rPr>
          </w:pPr>
          <w:r>
            <w:rPr>
              <w:rStyle w:val="4"/>
              <w:rFonts w:hint="eastAsia"/>
            </w:rPr>
            <w:t>单击或点击此处输入文字。</w:t>
          </w:r>
        </w:p>
      </w:docPartBody>
    </w:docPart>
    <w:docPart>
      <w:docPartPr>
        <w:name w:val="{65f8f206-e270-4a6d-8a25-917a2a355d25}"/>
        <w:style w:val=""/>
        <w:category>
          <w:name w:val="常规"/>
          <w:gallery w:val="placeholder"/>
        </w:category>
        <w:types>
          <w:type w:val="bbPlcHdr"/>
        </w:types>
        <w:behaviors>
          <w:behavior w:val="content"/>
        </w:behaviors>
        <w:description w:val=""/>
        <w:guid w:val="{65f8f206-e270-4a6d-8a25-917a2a355d25}"/>
      </w:docPartPr>
      <w:docPartBody>
        <w:p w14:paraId="03C3ECA8">
          <w:pPr>
            <w:pStyle w:val="9"/>
            <w:rPr>
              <w:rFonts w:hint="eastAsia"/>
            </w:rPr>
          </w:pPr>
          <w:r>
            <w:rPr>
              <w:rStyle w:val="4"/>
              <w:rFonts w:hint="eastAsia"/>
            </w:rPr>
            <w:t>选择一项。</w:t>
          </w:r>
        </w:p>
      </w:docPartBody>
    </w:docPart>
    <w:docPart>
      <w:docPartPr>
        <w:name w:val="{51e8b957-1a52-4bcb-80ca-c4a3cd6d8f0b}"/>
        <w:style w:val=""/>
        <w:category>
          <w:name w:val="常规"/>
          <w:gallery w:val="placeholder"/>
        </w:category>
        <w:types>
          <w:type w:val="bbPlcHdr"/>
        </w:types>
        <w:behaviors>
          <w:behavior w:val="content"/>
        </w:behaviors>
        <w:description w:val=""/>
        <w:guid w:val="{51e8b957-1a52-4bcb-80ca-c4a3cd6d8f0b}"/>
      </w:docPartPr>
      <w:docPartBody>
        <w:p w14:paraId="18A26CCF">
          <w:pPr>
            <w:pStyle w:val="10"/>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F07"/>
    <w:rsid w:val="001D0DDF"/>
    <w:rsid w:val="00412F07"/>
    <w:rsid w:val="00762F10"/>
    <w:rsid w:val="009735D0"/>
    <w:rsid w:val="00D80DDA"/>
    <w:rsid w:val="00D97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DA52E59D8D04EDFA04C2DBA4EBAC23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F649C7496AD14D678050FC65CE2252E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BD55F488FF294F8D9B1ECE605D3333D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6EFEFE0B99CE44A68C392AC38C3E296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9">
    <w:name w:val="4ED7D92F6DC44731967911ECEEAF920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0">
    <w:name w:val="217F3DB76EF64A16905E1121FEFE0FC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8376</Words>
  <Characters>8856</Characters>
  <Lines>64</Lines>
  <Paragraphs>18</Paragraphs>
  <TotalTime>0</TotalTime>
  <ScaleCrop>false</ScaleCrop>
  <LinksUpToDate>false</LinksUpToDate>
  <CharactersWithSpaces>8958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2025-09-08T01:30:00Z</dcterms:created>
  <dc:creator>YiXun Zhao</dc:creator>
  <cp:lastModifiedBy>xun</cp:lastModifiedBy>
  <dcterms:modified xsi:type="dcterms:W3CDTF">2026-05-21T05:19:09Z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eyJoZGlkIjoiYmE3NDI0ZmYwN2U5NDU4YTZmZDhhMDQ5YWE4NzQ4MDYiLCJ1c2VySWQiOiIxMzY2ODA0MTI4In0=</vt:lpwstr>
  </property>
  <property fmtid="{D5CDD505-2E9C-101B-9397-08002B2CF9AE}" pid="3" name="KSOProductBuildVer">
    <vt:lpwstr>2052-12.1.0.26375</vt:lpwstr>
  </property>
  <property fmtid="{D5CDD505-2E9C-101B-9397-08002B2CF9AE}" pid="4" name="ICV">
    <vt:lpwstr>631E82FD9B8C4D808BF0103235D93071_12</vt:lpwstr>
  </property>
</Properties>
</file>